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6AB240">
      <w:pPr>
        <w:pStyle w:val="130"/>
        <w:framePr w:wrap="around"/>
      </w:pPr>
      <w:r>
        <w:rPr>
          <w:rFonts w:ascii="Times New Roman"/>
        </w:rPr>
        <w:t>ICS</w:t>
      </w:r>
      <w:r>
        <w:rPr>
          <w:rFonts w:hAnsi="黑体"/>
        </w:rPr>
        <w:t> </w:t>
      </w:r>
      <w:bookmarkStart w:id="0" w:name="ICS"/>
      <w:r>
        <w:rPr>
          <w:rFonts w:hint="eastAsia"/>
        </w:rPr>
        <w:t>27.120.01</w:t>
      </w:r>
      <w:bookmarkEnd w:id="0"/>
    </w:p>
    <w:p w14:paraId="7C4501C3">
      <w:pPr>
        <w:pStyle w:val="130"/>
        <w:framePr w:wrap="around"/>
      </w:pPr>
      <w:r>
        <w:rPr>
          <w:rFonts w:hint="eastAsia"/>
        </w:rPr>
        <w:t>CCS</w:t>
      </w:r>
      <w:bookmarkStart w:id="1" w:name="WXFLH"/>
      <w:r>
        <w:rPr>
          <w:rFonts w:hint="eastAsia"/>
          <w:lang w:val="en-US" w:eastAsia="zh-CN"/>
        </w:rPr>
        <w:t xml:space="preserve"> </w:t>
      </w:r>
      <w:r>
        <w:rPr>
          <w:rFonts w:hint="eastAsia"/>
        </w:rPr>
        <w:fldChar w:fldCharType="begin">
          <w:ffData>
            <w:name w:val="WXFLH"/>
            <w:enabled/>
            <w:calcOnExit w:val="0"/>
            <w:helpText w:type="text" w:val="请输入中国标准文献分类号："/>
            <w:textInput>
              <w:default w:val="F65"/>
            </w:textInput>
          </w:ffData>
        </w:fldChar>
      </w:r>
      <w:r>
        <w:rPr>
          <w:rFonts w:hint="eastAsia"/>
        </w:rPr>
        <w:instrText xml:space="preserve">FORMTEXT</w:instrText>
      </w:r>
      <w:r>
        <w:rPr>
          <w:rFonts w:hint="eastAsia"/>
        </w:rPr>
        <w:fldChar w:fldCharType="separate"/>
      </w:r>
      <w:r>
        <w:rPr>
          <w:rFonts w:hint="eastAsia"/>
        </w:rPr>
        <w:t>F65</w:t>
      </w:r>
      <w:r>
        <w:rPr>
          <w:rFonts w:hint="eastAsia"/>
        </w:rPr>
        <w:fldChar w:fldCharType="end"/>
      </w:r>
      <w:bookmarkEnd w:id="1"/>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7D47F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7E617EBC">
            <w:pPr>
              <w:pStyle w:val="130"/>
              <w:framePr w:wrap="around"/>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D3l+668BAABnAwAADgAAAGRycy9lMm9Eb2MueG1srVNNb9sw&#10;DL0P6H8QdG8cB2iaGXGKbUG2w7AV6PYDFFmyBeirpBIn/36UnKVbd+lhPsikSD3yPUrrh5Oz7KgA&#10;TfAtr2dzzpSXoTO+b/nPH7vbFWeYhO+EDV61/KyQP2xu3q3H2KhFGILtFDAC8diMseVDSrGpKpSD&#10;cgJnISpPQR3AiUQu9FUHYiR0Z6vFfL6sxgBdhCAVIu1upyC/IMJbAIPWRqptkAenfJpQQVmRiBIO&#10;JiLflG61VjJ91xpVYrblxDSVlYqQvc9rtVmLpgcRByMvLYi3tPCKkxPGU9Er1FYkwQ5g/oFyRkLA&#10;oNNMBldNRIoixKKev9LmaRBRFS4kNcar6Pj/YOW34yMw07V8yZkXjgb+8cOXLMsYsaHoU3yEi4dk&#10;Zo4nDS7/qXt2KlKer1KqU2KSNlfL5f39HWeSQvX7Vb0oUlcvhyNg+qyCY9loOdCkioDi+BUTFaTU&#10;3ym5FgZrup2xtjjQ7z9ZYEdBU92VL3dMR/5Ksz4n+5CPTeG8U2ViE5Vs7UN3JgVGugItx+eDAMXZ&#10;IYLpB2qrLrg5j/QvFS53JQ/4T7/gvryPz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Iri/s1QAA&#10;AAcBAAAPAAAAAAAAAAEAIAAAACIAAABkcnMvZG93bnJldi54bWxQSwECFAAUAAAACACHTuJAD3l+&#10;668BAABnAwAADgAAAAAAAAABACAAAAAkAQAAZHJzL2Uyb0RvYy54bWxQSwUGAAAAAAYABgBZAQAA&#10;RQUAAAAA&#10;">
                      <v:fill on="t" focussize="0,0"/>
                      <v:stroke on="f"/>
                      <v:imagedata o:title=""/>
                      <o:lock v:ext="edit" aspectratio="f"/>
                    </v:rect>
                  </w:pict>
                </mc:Fallback>
              </mc:AlternateContent>
            </w:r>
          </w:p>
        </w:tc>
      </w:tr>
    </w:tbl>
    <w:p w14:paraId="4DE3D697">
      <w:pPr>
        <w:pStyle w:val="117"/>
        <w:framePr w:w="9393" w:wrap="around"/>
        <w:rPr>
          <w:rFonts w:hint="eastAsia"/>
          <w:sz w:val="72"/>
          <w:szCs w:val="72"/>
        </w:rPr>
      </w:pPr>
      <w:r>
        <w:rPr>
          <w:rFonts w:hint="eastAsia"/>
          <w:sz w:val="72"/>
          <w:szCs w:val="72"/>
        </w:rPr>
        <w:t xml:space="preserve">团  体  标  准 </w:t>
      </w:r>
    </w:p>
    <w:p w14:paraId="38AC32B3">
      <w:pPr>
        <w:pStyle w:val="54"/>
        <w:framePr w:wrap="around"/>
        <w:rPr>
          <w:rFonts w:hint="eastAsia" w:hAnsi="黑体"/>
        </w:rPr>
      </w:pPr>
      <w:r>
        <w:rPr>
          <w:rFonts w:hint="eastAsia" w:ascii="Times New Roman"/>
        </w:rPr>
        <w:t>T/CNEA XXX-XXXX</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4BB56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121E0AF">
            <w:pPr>
              <w:pStyle w:val="83"/>
              <w:framePr w:wrap="around"/>
            </w:pPr>
            <w:bookmarkStart w:id="2"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EjVxy2qAQAAZwMAAA4AAABkcnMvZTJvRG9jLnhtbK1TTW/b&#10;MAy9D9h/EHRfbKdDURhxemiQXYatQLsfoMiSLUBfJZU4+fejZC9du0sP80EmReqR71Ha3J+dZScF&#10;aILveLOqOVNeht74oeO/nvdf7jjDJHwvbPCq4xeF/H77+dNmiq1ahzHYXgEjEI/tFDs+phTbqkI5&#10;KidwFaLyFNQBnEjkwlD1ICZCd7Za1/VtNQXoIwSpEGl3Nwf5gggfAQxaG6l2QR6d8mlGBWVFIko4&#10;moh8W7rVWsn0U2tUidmOE9NUVipC9iGv1XYj2gFEHI1cWhAfaeEdJyeMp6JXqJ1Igh3B/APljISA&#10;QaeVDK6aiRRFiEVTv9PmaRRRFS4kNcar6Pj/YOWP0yMw03f8hjMvHA1895xVmSK2FHyKj7B4SGam&#10;eNbg8p+aZ+ei5OWqpDonJmmzab7e1DWJLCm2Xt/dkk0w1evpCJi+qeBYNjoONKkioDh9xzSn/knJ&#10;xTBY0++NtcWB4fBggZ0ETXVfvgX9TZr1OdmHfGxGzDtVZjZzydYh9BdSYKIr0HF8OQpQnB0jmGGk&#10;tpqCm/NI/9L/clfygP/2C+7r+9j+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BI1cctqgEA&#10;AGcDAAAOAAAAAAAAAAEAIAAAACUBAABkcnMvZTJvRG9jLnhtbFBLBQYAAAAABgAGAFkBAABBBQAA&#10;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2"/>
          </w:p>
        </w:tc>
      </w:tr>
    </w:tbl>
    <w:p w14:paraId="08B256DC">
      <w:pPr>
        <w:pStyle w:val="54"/>
        <w:framePr w:wrap="around"/>
        <w:rPr>
          <w:rFonts w:hint="eastAsia" w:hAnsi="黑体"/>
        </w:rPr>
      </w:pPr>
    </w:p>
    <w:p w14:paraId="3CBAE880">
      <w:pPr>
        <w:pStyle w:val="54"/>
        <w:framePr w:wrap="around"/>
        <w:rPr>
          <w:rFonts w:hint="eastAsia" w:hAnsi="黑体"/>
        </w:rPr>
      </w:pPr>
    </w:p>
    <w:p w14:paraId="69764147">
      <w:pPr>
        <w:pStyle w:val="85"/>
        <w:framePr w:w="9638" w:h="6916" w:hRule="exact" w:wrap="around" w:y="6135"/>
      </w:pPr>
      <w:r>
        <w:rPr>
          <w:rFonts w:hint="eastAsia" w:ascii="Times New Roman"/>
        </w:rPr>
        <w:t>海洋核动力平台安全壳抑压系统设计准则</w:t>
      </w:r>
    </w:p>
    <w:p w14:paraId="78B32545">
      <w:pPr>
        <w:pStyle w:val="87"/>
        <w:framePr w:w="9638" w:h="6916" w:hRule="exact" w:wrap="around" w:y="6135"/>
      </w:pP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090AC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tcPr>
          <w:p w14:paraId="0BA9B82A">
            <w:pPr>
              <w:pStyle w:val="88"/>
              <w:framePr w:w="9638" w:h="6916" w:hRule="exact" w:wrap="around" w:y="6135"/>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T73D/aoBAABnAwAADgAAAGRycy9lMm9Eb2MueG1srVNNb9sw&#10;DL0P6H8QdG/sBMuwGXF6WJBehq1bux+gyJItQF8llTj596NkL926Sw/zQSZF6pHvUdrcnZ1lJwVo&#10;gm/5clFzprwMnfF9y38+7W8/coZJ+E7Y4FXLLwr53fbm3WaMjVqFIdhOASMQj80YWz6kFJuqQjko&#10;J3ARovIU1AGcSORCX3UgRkJ3tlrV9YdqDNBFCFIh0u5uCvIZEd4CGLQ2Uu2CPDrl04QKyopElHAw&#10;Efm2dKu1kumb1qgSsy0npqmsVITsQ16r7UY0PYg4GDm3IN7SwitOThhPRa9QO5EEO4L5B8oZCQGD&#10;TgsZXDURKYoQi2X9SpvHQURVuJDUGK+i4/+DlV9PD8BM1/I1Z144GviP71mVMWJDwcf4ALOHZGaK&#10;Zw0u/6l5di5KXq5KqnNikjaXn+p1XZPIkmKr9ftsE0z1cjoCpnsVHMtGy4EmVQQUpy+YptTfKbkY&#10;Bmu6vbG2ONAfPltgJ0FT3ZdvRv8rzfqc7EM+NiHmnSozm7hk6xC6Cykw0hVoOT4fBSjOjhFMP1Bb&#10;y4Kb80j/0v98V/KA//QL7sv72P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E+9w/2qAQAA&#10;ZwMAAA4AAAAAAAAAAQAgAAAAJAEAAGRycy9lMm9Eb2MueG1sUEsFBgAAAAAGAAYAWQEAAEAFAAAA&#10;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NcAvtKqAQAAZwMAAA4AAABkcnMvZTJvRG9jLnhtbK1TTW/b&#10;MAy9D+h/EHRv5GTFVhhxCrRBeim2At1+gCLLtgB9jVTi5N+Pkr206y49TAeZFKlHvkd5fXdylh01&#10;oAm+4ctFxZn2KrTG9w3/+WN3fcsZJulbaYPXDT9r5Hebq0/rMdZ6FYZgWw2MQDzWY2z4kFKshUA1&#10;aCdxEaL2FOwCOJnIhV60IEdCd1asquqLGAO0EYLSiHS6nYJ8RoSPAIauM0pvgzo47dOECtrKRJRw&#10;MBH5pnTbdVql712HOjHbcGKayk5FyN7nXWzWsu5BxsGouQX5kRbecXLSeCp6gdrKJNkBzD9QzigI&#10;GLq0UMGJiUhRhFgsq3favAwy6sKFpMZ4ER3/H6z6dnwGZtqG33DmpaOBP91nVcaINQVf4jPMHpKZ&#10;KZ46cPlLzbNTUfJ8UVKfElN0uFx9rWhxpij2ubq5JZtgxOvtCJgedXAsGw0HmlQRUB6fME2pf1Jy&#10;MQzWtDtjbXGg3z9YYEdJU92VNaP/lWZ9TvYhX5sQ84nIzCYu2dqH9kwKjPQEGo6/DhI0Z4cIph+o&#10;rWXBzXmkf+l/fit5wG/9gvv6f2x+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APhi+XWAAAACQEA&#10;AA8AAAAAAAAAAQAgAAAAIgAAAGRycy9kb3ducmV2LnhtbFBLAQIUABQAAAAIAIdO4kDXAL7SqgEA&#10;AGcDAAAOAAAAAAAAAAEAIAAAACUBAABkcnMvZTJvRG9jLnhtbFBLBQYAAAAABgAGAFkBAABBBQAA&#10;AAA=&#10;">
                      <v:fill on="t" focussize="0,0"/>
                      <v:stroke on="f"/>
                      <v:imagedata o:title=""/>
                      <o:lock v:ext="edit" aspectratio="f"/>
                    </v:rect>
                  </w:pict>
                </mc:Fallback>
              </mc:AlternateContent>
            </w:r>
            <w:r>
              <w:rPr>
                <w:rFonts w:hint="eastAsia"/>
              </w:rPr>
              <w:t>草案</w:t>
            </w:r>
          </w:p>
        </w:tc>
      </w:tr>
      <w:tr w14:paraId="3CBBB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7E55CD8E">
            <w:pPr>
              <w:pStyle w:val="89"/>
              <w:framePr w:w="9638" w:h="6916" w:hRule="exact" w:wrap="around" w:y="6135"/>
            </w:pPr>
            <w:bookmarkStart w:id="3" w:name="WCRQ"/>
            <w:r>
              <w:rPr>
                <w:rFonts w:hint="eastAsia"/>
              </w:rPr>
              <w:t>（本稿完成日期：</w:t>
            </w:r>
            <w:bookmarkEnd w:id="3"/>
            <w:r>
              <w:rPr>
                <w:rFonts w:hint="eastAsia"/>
              </w:rPr>
              <w:t>2025.9.27）</w:t>
            </w:r>
          </w:p>
        </w:tc>
      </w:tr>
    </w:tbl>
    <w:p w14:paraId="078FB1C6">
      <w:pPr>
        <w:pStyle w:val="137"/>
        <w:framePr w:wrap="around" w:hAnchor="page" w:x="1418" w:y="14095"/>
      </w:pPr>
      <w:bookmarkStart w:id="4"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-4445</wp:posOffset>
                </wp:positionH>
                <wp:positionV relativeFrom="page">
                  <wp:posOffset>302260</wp:posOffset>
                </wp:positionV>
                <wp:extent cx="6120130" cy="0"/>
                <wp:effectExtent l="0" t="0" r="0" b="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0.35pt;margin-top:23.8pt;height:0pt;width:481.9pt;mso-position-vertical-relative:page;z-index:251659264;mso-width-relative:page;mso-height-relative:page;" filled="f" stroked="t" coordsize="21600,21600" o:gfxdata="UEsDBAoAAAAAAIdO4kAAAAAAAAAAAAAAAAAEAAAAZHJzL1BLAwQUAAAACACHTuJARFIxLdUAAAAH&#10;AQAADwAAAGRycy9kb3ducmV2LnhtbE2OO0/DMBSF90r9D9ZFYqlaO22VQojToZCNhULV9Ta+JBHx&#10;dRq7D/j1GDHAeB4658vXV9uJMw2+dawhmSkQxJUzLdca3l7L6R0IH5ANdo5Jwyd5WBfjUY6ZcRd+&#10;ofM21CKOsM9QQxNCn0npq4Ys+pnriWP27gaLIcqhlmbASxy3nZwrlUqLLceHBnvaNFR9bE9Wgy93&#10;dCy/JtVE7Re1o/nx8fkJtb69SdQDiEDX8FeGH/yIDkVkOrgTGy86DdNVLGpYrlIQMb5PFwmIw68h&#10;i1z+5y++AVBLAwQUAAAACACHTuJA5NT8p90BAADQAwAADgAAAGRycy9lMm9Eb2MueG1srVNLbhsx&#10;DN0X6B0E7euxHSRoBx5nESfdFK2BNgeg9fEI0A+i4rHP0mt01U2Pk2uU0jh2m2686Cw0lEQ+8j1S&#10;i9u9s2ynEprgOz6bTDlTXgRp/Lbjj98e3r3nDDN4CTZ41fGDQn67fPtmMcRWzUMfrFSJEYjHdogd&#10;73OObdOg6JUDnISoPF3qkBxk2qZtIxMMhO5sM59Ob5ohJBlTEAqRTlfjJT8ipksAg9ZGqFUQT075&#10;PKImZSETJexNRL6s1WqtRP6iNarMbMeJaa4rJSF7U9ZmuYB2myD2RhxLgEtKeMXJgfGU9AS1ggzs&#10;KZl/oJwRKWDQeSKCa0YiVRFiMZu+0uZrD1FVLiQ1xpPo+P9gxefdOjEjaRI48+Co4c/ffzz//MVm&#10;VZwhYks+d36dSKqyw7hOheleJ1f+xIHtq6CHk6Bqn5mgw5sZsboircXLXXMOjAnzRxUcK0bHrfGF&#10;K7Sw+4SZkpHri0s5tp4NHf9wPb8mOKDB09RwMl2k4tFvaywGa+SDsbZEYNpu7mxiOyjNr1/pN+H+&#10;5VaSrAD70a9ejWPRK5D3XrJ8iCSLp9fASwlOSc6sosdTrDpAGYy9xJNSW08VnHUs1ibIQ5W3nlOj&#10;a43HoSyT9Oe+Rp8f4v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RFIxLdUAAAAHAQAADwAAAAAA&#10;AAABACAAAAAiAAAAZHJzL2Rvd25yZXYueG1sUEsBAhQAFAAAAAgAh07iQOTU/KfdAQAA0AMAAA4A&#10;AAAAAAAAAQAgAAAAJAEAAGRycy9lMm9Eb2MueG1sUEsFBgAAAAAGAAYAWQEAAHMFAAAAAA==&#10;">
                <v:fill on="f" focussize="0,0"/>
                <v:stroke color="#000000" joinstyle="round"/>
                <v:imagedata o:title=""/>
                <o:lock v:ext="edit" aspectratio="f"/>
                <w10:anchorlock/>
              </v:line>
            </w:pict>
          </mc:Fallback>
        </mc:AlternateContent>
      </w:r>
    </w:p>
    <w:p w14:paraId="2EA3B7DF">
      <w:pPr>
        <w:pStyle w:val="138"/>
        <w:framePr w:wrap="around" w:hAnchor="page" w:x="7088" w:y="14095"/>
      </w:pPr>
      <w:bookmarkStart w:id="6"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bookmarkStart w:id="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bookmarkStart w:id="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实施</w:t>
      </w:r>
    </w:p>
    <w:p w14:paraId="59D1AFAA">
      <w:pPr>
        <w:pStyle w:val="118"/>
        <w:framePr w:wrap="around"/>
      </w:pPr>
      <w:bookmarkStart w:id="9" w:name="fm"/>
      <w:r>
        <w:fldChar w:fldCharType="begin">
          <w:ffData>
            <w:name w:val="fm"/>
            <w:enabled/>
            <w:calcOnExit w:val="0"/>
            <w:textInput/>
          </w:ffData>
        </w:fldChar>
      </w:r>
      <w:r>
        <w:instrText xml:space="preserve"> FORMTEXT </w:instrText>
      </w:r>
      <w:r>
        <w:fldChar w:fldCharType="separate"/>
      </w:r>
      <w:r>
        <w:rPr>
          <w:rFonts w:hint="eastAsia"/>
        </w:rPr>
        <w:t>中国核能行业协会</w:t>
      </w:r>
      <w:r>
        <w:fldChar w:fldCharType="end"/>
      </w:r>
      <w:bookmarkEnd w:id="9"/>
      <w:r>
        <w:rPr>
          <w:rFonts w:hAnsi="黑体"/>
        </w:rPr>
        <w:t>   </w:t>
      </w:r>
      <w:r>
        <w:rPr>
          <w:rStyle w:val="80"/>
          <w:rFonts w:hint="eastAsia"/>
        </w:rPr>
        <w:t>发布</w:t>
      </w:r>
    </w:p>
    <w:p w14:paraId="5C4CFBCD">
      <w:pPr>
        <w:pStyle w:val="28"/>
        <w:sectPr>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l7ycG3wEAANADAAAOAAAAZHJzL2Uyb0RvYy54bWytU0uO&#10;EzEQ3SNxB8t70umgGUErnVlMGDYIIsEcoOJP2pJ/cnnSyVm4Bis2HGeuQdmdycCwyYJeuMvlqlf1&#10;nsvLm4OzbK8SmuB73s7mnCkvgjR+1/P7b3dv3nGGGbwEG7zq+VEhv1m9frUcY6cWYQhWqsQIxGM3&#10;xp4POceuaVAMygHOQlSeDnVIDjJt066RCUZCd7ZZzOfXzRiSjCkIhUje9XTIT4jpEsCgtRFqHcSD&#10;Uz5PqElZyEQJBxORr2q3WiuRv2iNKjPbc2Ka60pFyN6WtVktodsliIMRpxbgkhZecHJgPBU9Q60h&#10;A3tI5h8oZ0QKGHSeieCaiUhVhFi08xfafB0gqsqFpMZ4Fh3/H6z4vN8kZmTPF5x5cHThj99/PP78&#10;xdq2iDNG7Cjm1m/SaYdxkwrTg06u/IkDO1RBj2dB1SEzQc7rlli9Ja3F01nznBgT5o8qOFaMnlvj&#10;C1foYP8JMxWj0KeQ4raejT1/f7W4IjigwdN04WS6SM2j39VcDNbIO2NtycC0297axPZQLr9+hRLh&#10;/hVWiqwBhymuHk1jMSiQH7xk+RhJFk+vgZcWnJKcWUWPp1gECF0GYy+JpNLWUwdF1UnHYm2DPFZ5&#10;q58uuvZ4GsoySX/ua/bz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Al7ycG3wEAANAD&#10;AAAOAAAAAAAAAAEAIAAAACYBAABkcnMvZTJvRG9jLnhtbFBLBQYAAAAABgAGAFkBAAB3BQAAAAA=&#10;">
                <v:fill on="f" focussize="0,0"/>
                <v:stroke color="#000000" joinstyle="round"/>
                <v:imagedata o:title=""/>
                <o:lock v:ext="edit" aspectratio="f"/>
              </v:line>
            </w:pict>
          </mc:Fallback>
        </mc:AlternateContent>
      </w:r>
    </w:p>
    <w:p w14:paraId="1064C8A8">
      <w:pPr>
        <w:pStyle w:val="57"/>
      </w:pPr>
      <w:bookmarkStart w:id="10" w:name="_Toc32408444"/>
      <w:bookmarkStart w:id="11" w:name="_Toc77237536"/>
      <w:r>
        <w:rPr>
          <w:rFonts w:hint="eastAsia"/>
        </w:rPr>
        <w:t>目</w:t>
      </w:r>
      <w:bookmarkStart w:id="12" w:name="BKML"/>
      <w:r>
        <w:rPr>
          <w:rFonts w:hint="eastAsia" w:ascii="MS Mincho" w:hAnsi="MS Mincho" w:eastAsia="MS Mincho" w:cs="MS Mincho"/>
        </w:rPr>
        <w:t>  </w:t>
      </w:r>
      <w:r>
        <w:rPr>
          <w:rFonts w:hint="eastAsia"/>
        </w:rPr>
        <w:t>次</w:t>
      </w:r>
      <w:bookmarkEnd w:id="12"/>
    </w:p>
    <w:p w14:paraId="05729F10">
      <w:pPr>
        <w:pStyle w:val="24"/>
        <w:tabs>
          <w:tab w:val="right" w:leader="dot" w:pos="9354"/>
          <w:tab w:val="clear" w:pos="9241"/>
        </w:tabs>
        <w:spacing w:before="78" w:after="78"/>
      </w:pPr>
      <w:r>
        <w:fldChar w:fldCharType="begin"/>
      </w:r>
      <w:r>
        <w:instrText xml:space="preserve"> TOC \h \z \t"前言、引言标题,1,参考文献、索引标题,1,章标题,1,参考文献,1,附录标识,1" \* MERGEFORMAT  \* MERGEFORMAT </w:instrText>
      </w:r>
      <w:r>
        <w:fldChar w:fldCharType="separate"/>
      </w:r>
      <w:r>
        <w:fldChar w:fldCharType="begin"/>
      </w:r>
      <w:r>
        <w:instrText xml:space="preserve"> HYPERLINK \l "_Toc28505" </w:instrText>
      </w:r>
      <w:r>
        <w:fldChar w:fldCharType="separate"/>
      </w:r>
      <w:r>
        <w:rPr>
          <w:rFonts w:hint="eastAsia"/>
        </w:rPr>
        <w:t>前</w:t>
      </w:r>
      <w:r>
        <w:rPr>
          <w:rFonts w:hAnsi="黑体"/>
        </w:rPr>
        <w:t>  </w:t>
      </w:r>
      <w:r>
        <w:rPr>
          <w:rFonts w:hint="eastAsia"/>
        </w:rPr>
        <w:t>言</w:t>
      </w:r>
      <w:r>
        <w:tab/>
      </w:r>
      <w:r>
        <w:fldChar w:fldCharType="begin"/>
      </w:r>
      <w:r>
        <w:instrText xml:space="preserve"> PAGEREF _Toc28505 \h </w:instrText>
      </w:r>
      <w:r>
        <w:fldChar w:fldCharType="separate"/>
      </w:r>
      <w:r>
        <w:t>III</w:t>
      </w:r>
      <w:r>
        <w:fldChar w:fldCharType="end"/>
      </w:r>
      <w:r>
        <w:fldChar w:fldCharType="end"/>
      </w:r>
    </w:p>
    <w:p w14:paraId="194CEDF9">
      <w:pPr>
        <w:pStyle w:val="24"/>
        <w:tabs>
          <w:tab w:val="right" w:leader="dot" w:pos="9354"/>
          <w:tab w:val="clear" w:pos="9241"/>
        </w:tabs>
        <w:spacing w:before="78" w:after="78"/>
      </w:pPr>
      <w:r>
        <w:fldChar w:fldCharType="begin"/>
      </w:r>
      <w:r>
        <w:instrText xml:space="preserve"> HYPERLINK \l "_Toc19590" </w:instrText>
      </w:r>
      <w:r>
        <w:fldChar w:fldCharType="separate"/>
      </w:r>
      <w:r>
        <w:rPr>
          <w:rFonts w:hint="eastAsia" w:ascii="黑体" w:eastAsia="黑体"/>
        </w:rPr>
        <w:t xml:space="preserve">1 </w:t>
      </w:r>
      <w:r>
        <w:rPr>
          <w:rFonts w:hint="eastAsia"/>
        </w:rPr>
        <w:t>范围</w:t>
      </w:r>
      <w:r>
        <w:tab/>
      </w:r>
      <w:r>
        <w:fldChar w:fldCharType="begin"/>
      </w:r>
      <w:r>
        <w:instrText xml:space="preserve"> PAGEREF _Toc19590 \h </w:instrText>
      </w:r>
      <w:r>
        <w:fldChar w:fldCharType="separate"/>
      </w:r>
      <w:r>
        <w:t>1</w:t>
      </w:r>
      <w:r>
        <w:fldChar w:fldCharType="end"/>
      </w:r>
      <w:r>
        <w:fldChar w:fldCharType="end"/>
      </w:r>
    </w:p>
    <w:p w14:paraId="37523609">
      <w:pPr>
        <w:pStyle w:val="24"/>
        <w:tabs>
          <w:tab w:val="right" w:leader="dot" w:pos="9354"/>
          <w:tab w:val="clear" w:pos="9241"/>
        </w:tabs>
        <w:spacing w:before="78" w:after="78"/>
      </w:pPr>
      <w:r>
        <w:fldChar w:fldCharType="begin"/>
      </w:r>
      <w:r>
        <w:instrText xml:space="preserve"> HYPERLINK \l "_Toc9280"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_Toc9280 \h </w:instrText>
      </w:r>
      <w:r>
        <w:fldChar w:fldCharType="separate"/>
      </w:r>
      <w:r>
        <w:t>1</w:t>
      </w:r>
      <w:r>
        <w:fldChar w:fldCharType="end"/>
      </w:r>
      <w:r>
        <w:fldChar w:fldCharType="end"/>
      </w:r>
    </w:p>
    <w:p w14:paraId="67EFC32B">
      <w:pPr>
        <w:pStyle w:val="24"/>
        <w:tabs>
          <w:tab w:val="right" w:leader="dot" w:pos="9354"/>
          <w:tab w:val="clear" w:pos="9241"/>
        </w:tabs>
        <w:spacing w:before="78" w:after="78"/>
      </w:pPr>
      <w:r>
        <w:fldChar w:fldCharType="begin"/>
      </w:r>
      <w:r>
        <w:instrText xml:space="preserve"> HYPERLINK \l "_Toc20348"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_Toc20348 \h </w:instrText>
      </w:r>
      <w:r>
        <w:fldChar w:fldCharType="separate"/>
      </w:r>
      <w:r>
        <w:t>1</w:t>
      </w:r>
      <w:r>
        <w:fldChar w:fldCharType="end"/>
      </w:r>
      <w:r>
        <w:fldChar w:fldCharType="end"/>
      </w:r>
    </w:p>
    <w:p w14:paraId="741F48E5">
      <w:pPr>
        <w:pStyle w:val="24"/>
        <w:tabs>
          <w:tab w:val="right" w:leader="dot" w:pos="9354"/>
          <w:tab w:val="clear" w:pos="9241"/>
        </w:tabs>
        <w:spacing w:before="78" w:after="78"/>
      </w:pPr>
      <w:r>
        <w:fldChar w:fldCharType="begin"/>
      </w:r>
      <w:r>
        <w:instrText xml:space="preserve"> HYPERLINK \l "_Toc30206" </w:instrText>
      </w:r>
      <w:r>
        <w:fldChar w:fldCharType="separate"/>
      </w:r>
      <w:r>
        <w:rPr>
          <w:rFonts w:hint="eastAsia" w:ascii="黑体" w:eastAsia="黑体"/>
        </w:rPr>
        <w:t xml:space="preserve">4 </w:t>
      </w:r>
      <w:r>
        <w:rPr>
          <w:rFonts w:hint="eastAsia"/>
        </w:rPr>
        <w:t>系统功能</w:t>
      </w:r>
      <w:r>
        <w:tab/>
      </w:r>
      <w:r>
        <w:fldChar w:fldCharType="begin"/>
      </w:r>
      <w:r>
        <w:instrText xml:space="preserve"> PAGEREF _Toc30206 \h </w:instrText>
      </w:r>
      <w:r>
        <w:fldChar w:fldCharType="separate"/>
      </w:r>
      <w:r>
        <w:t>1</w:t>
      </w:r>
      <w:r>
        <w:fldChar w:fldCharType="end"/>
      </w:r>
      <w:r>
        <w:fldChar w:fldCharType="end"/>
      </w:r>
    </w:p>
    <w:p w14:paraId="6F3C7831">
      <w:pPr>
        <w:pStyle w:val="24"/>
        <w:tabs>
          <w:tab w:val="right" w:leader="dot" w:pos="9354"/>
          <w:tab w:val="clear" w:pos="9241"/>
        </w:tabs>
        <w:spacing w:before="78" w:after="78"/>
      </w:pPr>
      <w:r>
        <w:fldChar w:fldCharType="begin"/>
      </w:r>
      <w:r>
        <w:instrText xml:space="preserve"> HYPERLINK \l "_Toc2952" </w:instrText>
      </w:r>
      <w:r>
        <w:fldChar w:fldCharType="separate"/>
      </w:r>
      <w:r>
        <w:rPr>
          <w:rFonts w:hint="eastAsia" w:ascii="黑体" w:eastAsia="黑体"/>
        </w:rPr>
        <w:t xml:space="preserve">5 </w:t>
      </w:r>
      <w:r>
        <w:rPr>
          <w:rFonts w:hint="eastAsia"/>
        </w:rPr>
        <w:t>系统范围</w:t>
      </w:r>
      <w:r>
        <w:tab/>
      </w:r>
      <w:r>
        <w:fldChar w:fldCharType="begin"/>
      </w:r>
      <w:r>
        <w:instrText xml:space="preserve"> PAGEREF _Toc2952 \h </w:instrText>
      </w:r>
      <w:r>
        <w:fldChar w:fldCharType="separate"/>
      </w:r>
      <w:r>
        <w:t>2</w:t>
      </w:r>
      <w:r>
        <w:fldChar w:fldCharType="end"/>
      </w:r>
      <w:r>
        <w:fldChar w:fldCharType="end"/>
      </w:r>
    </w:p>
    <w:p w14:paraId="7DDBEB81">
      <w:pPr>
        <w:pStyle w:val="24"/>
        <w:tabs>
          <w:tab w:val="right" w:leader="dot" w:pos="9354"/>
          <w:tab w:val="clear" w:pos="9241"/>
        </w:tabs>
        <w:spacing w:before="78" w:after="78"/>
      </w:pPr>
      <w:r>
        <w:fldChar w:fldCharType="begin"/>
      </w:r>
      <w:r>
        <w:instrText xml:space="preserve"> HYPERLINK \l "_Toc27301" </w:instrText>
      </w:r>
      <w:r>
        <w:fldChar w:fldCharType="separate"/>
      </w:r>
      <w:r>
        <w:rPr>
          <w:rFonts w:hint="eastAsia" w:ascii="黑体" w:eastAsia="黑体"/>
        </w:rPr>
        <w:t xml:space="preserve">6 </w:t>
      </w:r>
      <w:r>
        <w:rPr>
          <w:rFonts w:hint="eastAsia"/>
        </w:rPr>
        <w:t>系统性能要求</w:t>
      </w:r>
      <w:r>
        <w:tab/>
      </w:r>
      <w:r>
        <w:fldChar w:fldCharType="begin"/>
      </w:r>
      <w:r>
        <w:instrText xml:space="preserve"> PAGEREF _Toc27301 \h </w:instrText>
      </w:r>
      <w:r>
        <w:fldChar w:fldCharType="separate"/>
      </w:r>
      <w:r>
        <w:t>2</w:t>
      </w:r>
      <w:r>
        <w:fldChar w:fldCharType="end"/>
      </w:r>
      <w:r>
        <w:fldChar w:fldCharType="end"/>
      </w:r>
    </w:p>
    <w:p w14:paraId="78E6AFDE">
      <w:pPr>
        <w:pStyle w:val="24"/>
        <w:tabs>
          <w:tab w:val="right" w:leader="dot" w:pos="9354"/>
          <w:tab w:val="clear" w:pos="9241"/>
        </w:tabs>
        <w:spacing w:before="78" w:after="78"/>
      </w:pPr>
      <w:r>
        <w:fldChar w:fldCharType="begin"/>
      </w:r>
      <w:r>
        <w:instrText xml:space="preserve"> HYPERLINK \l "_Toc32080" </w:instrText>
      </w:r>
      <w:r>
        <w:fldChar w:fldCharType="separate"/>
      </w:r>
      <w:r>
        <w:rPr>
          <w:rFonts w:hint="eastAsia" w:ascii="黑体" w:eastAsia="黑体"/>
        </w:rPr>
        <w:t xml:space="preserve">7 </w:t>
      </w:r>
      <w:r>
        <w:rPr>
          <w:rFonts w:ascii="Times New Roman"/>
        </w:rPr>
        <w:t>设计要求</w:t>
      </w:r>
      <w:r>
        <w:tab/>
      </w:r>
      <w:r>
        <w:fldChar w:fldCharType="begin"/>
      </w:r>
      <w:r>
        <w:instrText xml:space="preserve"> PAGEREF _Toc32080 \h </w:instrText>
      </w:r>
      <w:r>
        <w:fldChar w:fldCharType="separate"/>
      </w:r>
      <w:r>
        <w:t>2</w:t>
      </w:r>
      <w:r>
        <w:fldChar w:fldCharType="end"/>
      </w:r>
      <w:r>
        <w:fldChar w:fldCharType="end"/>
      </w:r>
    </w:p>
    <w:p w14:paraId="44F5C92A">
      <w:pPr>
        <w:pStyle w:val="28"/>
      </w:pPr>
      <w:r>
        <w:fldChar w:fldCharType="end"/>
      </w:r>
    </w:p>
    <w:p w14:paraId="2433314B">
      <w:pPr>
        <w:pStyle w:val="119"/>
      </w:pPr>
      <w:bookmarkStart w:id="13" w:name="_Toc27790"/>
      <w:bookmarkStart w:id="14" w:name="_Toc28505"/>
      <w:bookmarkStart w:id="15" w:name="_Toc77252138"/>
      <w:r>
        <w:rPr>
          <w:rFonts w:hint="eastAsia"/>
        </w:rPr>
        <w:t>前</w:t>
      </w:r>
      <w:bookmarkStart w:id="16" w:name="BKQY"/>
      <w:r>
        <w:rPr>
          <w:rFonts w:hAnsi="黑体"/>
        </w:rPr>
        <w:t>  </w:t>
      </w:r>
      <w:r>
        <w:rPr>
          <w:rFonts w:hint="eastAsia"/>
        </w:rPr>
        <w:t>言</w:t>
      </w:r>
      <w:bookmarkEnd w:id="10"/>
      <w:bookmarkEnd w:id="11"/>
      <w:bookmarkEnd w:id="13"/>
      <w:bookmarkEnd w:id="14"/>
      <w:bookmarkEnd w:id="15"/>
      <w:bookmarkEnd w:id="16"/>
    </w:p>
    <w:p w14:paraId="5AF6C656">
      <w:pPr>
        <w:pStyle w:val="28"/>
      </w:pPr>
      <w:r>
        <w:rPr>
          <w:rFonts w:hint="eastAsia"/>
        </w:rPr>
        <w:t>本文件按照GB/T 1.1一2020 《标准化工作导则 第1部分：标准化文件的结构和起草规则》的规定起草。</w:t>
      </w:r>
    </w:p>
    <w:p w14:paraId="4823C502">
      <w:pPr>
        <w:pStyle w:val="28"/>
      </w:pPr>
      <w:r>
        <w:rPr>
          <w:rFonts w:hint="eastAsia"/>
        </w:rPr>
        <w:t>请注意本文件的某些内容可能涉及专利。本文件的发布机构不承担识别专利的责任。</w:t>
      </w:r>
    </w:p>
    <w:p w14:paraId="1F49A98E">
      <w:pPr>
        <w:pStyle w:val="28"/>
      </w:pPr>
      <w:r>
        <w:rPr>
          <w:rFonts w:hint="eastAsia"/>
        </w:rPr>
        <w:t>本文件由中国核能行业协会提出并归口，技术支持单位为上海核工程研究设计院股份有限公司、核工业标准化研究所、苏州热工研究院有限公司、华能核能技术研究院有限公司。</w:t>
      </w:r>
    </w:p>
    <w:p w14:paraId="67FA7F88">
      <w:pPr>
        <w:ind w:firstLine="420" w:firstLineChars="200"/>
      </w:pPr>
      <w:r>
        <w:rPr>
          <w:rFonts w:hint="eastAsia"/>
        </w:rPr>
        <w:t>本文件起草单位：中广核研究院有限公司、中国舰船研究设计中心、中国核电工程有限公司、上海核工程研究设计院股份有限公司、中广核工程有限公司、华龙国际核电技术有限公司、上海交通大学、西安交通大学、哈尔滨工业大学、哈尔滨工程大学。</w:t>
      </w:r>
    </w:p>
    <w:p w14:paraId="0FFB612C">
      <w:pPr>
        <w:pStyle w:val="28"/>
      </w:pPr>
      <w:r>
        <w:rPr>
          <w:rFonts w:hint="eastAsia"/>
        </w:rPr>
        <w:t>本文件主要起草人：李德睿、方兴、芮旻、胡鱼旺、张琪、范英琦、梁立创、张立德、高桂艳、杨江、李桂勇、王俊、丁亮、</w:t>
      </w:r>
      <w:r>
        <w:rPr>
          <w:rFonts w:hint="eastAsia"/>
          <w:lang w:val="en-US" w:eastAsia="zh-CN"/>
        </w:rPr>
        <w:t>邱</w:t>
      </w:r>
      <w:r>
        <w:rPr>
          <w:rFonts w:hint="eastAsia"/>
        </w:rPr>
        <w:t>健、彭跃、丘锦萌、顾汉洋、秋穗正、刘国栋、谭思超、牛婷婷。</w:t>
      </w:r>
    </w:p>
    <w:p w14:paraId="39CB8384">
      <w:pPr>
        <w:pStyle w:val="28"/>
      </w:pPr>
      <w:r>
        <w:rPr>
          <w:rFonts w:hint="eastAsia"/>
        </w:rPr>
        <w:t>本文件首次发布。</w:t>
      </w:r>
    </w:p>
    <w:p w14:paraId="4F813113">
      <w:pPr>
        <w:pStyle w:val="28"/>
        <w:sectPr>
          <w:headerReference r:id="rId3" w:type="default"/>
          <w:footerReference r:id="rId4" w:type="default"/>
          <w:pgSz w:w="11906" w:h="16838"/>
          <w:pgMar w:top="567" w:right="1134" w:bottom="1134" w:left="1418" w:header="1418" w:footer="1134" w:gutter="0"/>
          <w:pgNumType w:fmt="upperRoman"/>
          <w:cols w:space="425" w:num="1"/>
          <w:formProt w:val="0"/>
          <w:docGrid w:type="lines" w:linePitch="312" w:charSpace="0"/>
        </w:sectPr>
      </w:pPr>
    </w:p>
    <w:p w14:paraId="2A4482BD">
      <w:pPr>
        <w:pStyle w:val="57"/>
      </w:pPr>
      <w:r>
        <w:rPr>
          <w:rFonts w:hint="eastAsia" w:ascii="Times New Roman"/>
        </w:rPr>
        <w:t>海洋核动力平台安全壳抑压系统设计准则</w:t>
      </w:r>
    </w:p>
    <w:p w14:paraId="21586886">
      <w:pPr>
        <w:pStyle w:val="52"/>
        <w:outlineLvl w:val="0"/>
      </w:pPr>
      <w:bookmarkStart w:id="17" w:name="_Toc24498"/>
      <w:bookmarkStart w:id="18" w:name="_Toc19590"/>
      <w:bookmarkStart w:id="19" w:name="_Toc119570772"/>
      <w:r>
        <w:rPr>
          <w:rFonts w:hint="eastAsia"/>
        </w:rPr>
        <w:t>范围</w:t>
      </w:r>
      <w:bookmarkEnd w:id="17"/>
      <w:bookmarkEnd w:id="18"/>
      <w:bookmarkEnd w:id="19"/>
    </w:p>
    <w:p w14:paraId="57AEAAAE">
      <w:pPr>
        <w:pStyle w:val="28"/>
        <w:rPr>
          <w:rFonts w:ascii="Times New Roman"/>
        </w:rPr>
      </w:pPr>
      <w:r>
        <w:rPr>
          <w:rFonts w:ascii="Times New Roman"/>
        </w:rPr>
        <w:t>本</w:t>
      </w:r>
      <w:r>
        <w:rPr>
          <w:rFonts w:hint="eastAsia" w:ascii="Times New Roman"/>
        </w:rPr>
        <w:t>文件</w:t>
      </w:r>
      <w:r>
        <w:rPr>
          <w:rFonts w:ascii="Times New Roman"/>
        </w:rPr>
        <w:t>规定</w:t>
      </w:r>
      <w:r>
        <w:rPr>
          <w:rFonts w:hint="eastAsia" w:ascii="Times New Roman"/>
        </w:rPr>
        <w:t>了海洋核动力平台安全壳抑压系统</w:t>
      </w:r>
      <w:r>
        <w:rPr>
          <w:rFonts w:ascii="Times New Roman"/>
        </w:rPr>
        <w:t>设计、分析和验证的相关要求。</w:t>
      </w:r>
    </w:p>
    <w:p w14:paraId="62D6B26C">
      <w:pPr>
        <w:pStyle w:val="28"/>
      </w:pPr>
      <w:r>
        <w:rPr>
          <w:rFonts w:ascii="Times New Roman"/>
        </w:rPr>
        <w:t>本</w:t>
      </w:r>
      <w:r>
        <w:rPr>
          <w:rFonts w:hint="eastAsia" w:ascii="Times New Roman"/>
        </w:rPr>
        <w:t>文件</w:t>
      </w:r>
      <w:r>
        <w:rPr>
          <w:rFonts w:ascii="Times New Roman"/>
        </w:rPr>
        <w:t>适用</w:t>
      </w:r>
      <w:r>
        <w:rPr>
          <w:rFonts w:hint="eastAsia" w:ascii="Times New Roman"/>
        </w:rPr>
        <w:t>于海洋核动力平台安全壳抑压系统</w:t>
      </w:r>
      <w:r>
        <w:rPr>
          <w:rFonts w:ascii="Times New Roman"/>
        </w:rPr>
        <w:t>设计、分析和验证。</w:t>
      </w:r>
      <w:r>
        <w:rPr>
          <w:rFonts w:hint="eastAsia" w:ascii="Times New Roman"/>
        </w:rPr>
        <w:t>采用水作为热阱进行安全壳抑压的机组</w:t>
      </w:r>
      <w:r>
        <w:rPr>
          <w:rFonts w:ascii="Times New Roman"/>
        </w:rPr>
        <w:t>均可参照使用。</w:t>
      </w:r>
    </w:p>
    <w:p w14:paraId="6187B193">
      <w:pPr>
        <w:pStyle w:val="52"/>
        <w:outlineLvl w:val="0"/>
      </w:pPr>
      <w:bookmarkStart w:id="20" w:name="_Toc9280"/>
      <w:bookmarkStart w:id="21" w:name="_Toc119570775"/>
      <w:bookmarkStart w:id="22" w:name="_Toc10560"/>
      <w:r>
        <w:rPr>
          <w:rFonts w:hint="eastAsia"/>
        </w:rPr>
        <w:t>规范性引用文件</w:t>
      </w:r>
      <w:bookmarkEnd w:id="20"/>
      <w:bookmarkEnd w:id="21"/>
      <w:bookmarkEnd w:id="22"/>
    </w:p>
    <w:p w14:paraId="2DB4342A">
      <w:pPr>
        <w:pStyle w:val="28"/>
        <w:rPr>
          <w:rFonts w:ascii="Times New Roman"/>
        </w:rPr>
      </w:pPr>
      <w:r>
        <w:rPr>
          <w:rFonts w:ascii="Times New Roman"/>
        </w:rPr>
        <w:t>下列文件对于本文件的应用是必不可少的。凡是注日期的引用文件，仅所注日期的版本适用于本文件。凡是不注日期的引用文件，其最新版本（包括所有的修改单）适用于本文件。</w:t>
      </w:r>
    </w:p>
    <w:p w14:paraId="7541E7FA">
      <w:pPr>
        <w:pStyle w:val="55"/>
        <w:numPr>
          <w:ilvl w:val="0"/>
          <w:numId w:val="0"/>
        </w:numPr>
        <w:ind w:left="833" w:hanging="408"/>
        <w:rPr>
          <w:rFonts w:ascii="Times New Roman"/>
        </w:rPr>
      </w:pPr>
      <w:r>
        <w:rPr>
          <w:rFonts w:hint="eastAsia" w:ascii="Times New Roman"/>
        </w:rPr>
        <w:t>GB/T 13284.1</w:t>
      </w:r>
      <w:r>
        <w:rPr>
          <w:rFonts w:ascii="Times New Roman"/>
        </w:rPr>
        <w:t xml:space="preserve"> </w:t>
      </w:r>
      <w:r>
        <w:rPr>
          <w:rFonts w:hint="eastAsia"/>
          <w:color w:val="000000"/>
        </w:rPr>
        <w:t>核电厂安全系统 第1部分：设计准则</w:t>
      </w:r>
    </w:p>
    <w:p w14:paraId="7C6D4EEA">
      <w:pPr>
        <w:pStyle w:val="55"/>
        <w:numPr>
          <w:ilvl w:val="0"/>
          <w:numId w:val="0"/>
        </w:numPr>
        <w:ind w:left="833" w:hanging="408"/>
        <w:rPr>
          <w:rFonts w:ascii="Times New Roman"/>
        </w:rPr>
      </w:pPr>
      <w:r>
        <w:rPr>
          <w:rFonts w:hint="eastAsia" w:ascii="Times New Roman"/>
        </w:rPr>
        <w:t>GB/T 13626</w:t>
      </w:r>
      <w:r>
        <w:rPr>
          <w:rFonts w:ascii="Times New Roman"/>
        </w:rPr>
        <w:t xml:space="preserve"> </w:t>
      </w:r>
      <w:r>
        <w:rPr>
          <w:rFonts w:hint="eastAsia" w:ascii="Times New Roman"/>
        </w:rPr>
        <w:t>单一故障准则应用于核电厂安全系统</w:t>
      </w:r>
    </w:p>
    <w:p w14:paraId="087952D5">
      <w:pPr>
        <w:pStyle w:val="28"/>
        <w:rPr>
          <w:rFonts w:ascii="Times New Roman"/>
        </w:rPr>
      </w:pPr>
      <w:r>
        <w:rPr>
          <w:rFonts w:hint="eastAsia" w:ascii="Times New Roman"/>
        </w:rPr>
        <w:t>GB/T 5204</w:t>
      </w:r>
      <w:r>
        <w:rPr>
          <w:rFonts w:ascii="Times New Roman"/>
        </w:rPr>
        <w:t xml:space="preserve"> </w:t>
      </w:r>
      <w:r>
        <w:rPr>
          <w:rFonts w:hint="eastAsia" w:ascii="Times New Roman"/>
        </w:rPr>
        <w:t>核电厂安全系统定期试验与监测</w:t>
      </w:r>
    </w:p>
    <w:p w14:paraId="316B778B">
      <w:pPr>
        <w:pStyle w:val="28"/>
        <w:rPr>
          <w:rFonts w:hint="eastAsia" w:ascii="Times New Roman"/>
        </w:rPr>
      </w:pPr>
      <w:r>
        <w:rPr>
          <w:rFonts w:hint="eastAsia" w:ascii="Times New Roman"/>
        </w:rPr>
        <w:t>HAD10203-2025 核动力厂构筑物、系统和部件的安全分级</w:t>
      </w:r>
    </w:p>
    <w:p w14:paraId="05E57FCD">
      <w:pPr>
        <w:pStyle w:val="28"/>
        <w:rPr>
          <w:rFonts w:hint="eastAsia" w:ascii="Times New Roman"/>
        </w:rPr>
      </w:pPr>
      <w:r>
        <w:rPr>
          <w:rFonts w:hint="eastAsia" w:ascii="Times New Roman"/>
        </w:rPr>
        <w:t>GB</w:t>
      </w:r>
      <w:r>
        <w:rPr>
          <w:rFonts w:hint="eastAsia" w:ascii="Times New Roman"/>
          <w:lang w:val="en-US" w:eastAsia="zh-CN"/>
        </w:rPr>
        <w:t>/</w:t>
      </w:r>
      <w:r>
        <w:rPr>
          <w:rFonts w:hint="eastAsia" w:ascii="Times New Roman"/>
        </w:rPr>
        <w:t>T17569-2021 压水堆核电厂物项分级</w:t>
      </w:r>
    </w:p>
    <w:p w14:paraId="02D5D1E3">
      <w:pPr>
        <w:pStyle w:val="28"/>
        <w:rPr>
          <w:rFonts w:ascii="Times New Roman"/>
        </w:rPr>
      </w:pPr>
      <w:r>
        <w:rPr>
          <w:rFonts w:hint="eastAsia" w:ascii="Times New Roman"/>
        </w:rPr>
        <w:t>GB/T13285-1999 核电厂安全重要系统和部件的实体保护</w:t>
      </w:r>
    </w:p>
    <w:p w14:paraId="5FE1A264">
      <w:pPr>
        <w:pStyle w:val="28"/>
        <w:rPr>
          <w:rFonts w:ascii="Times New Roman"/>
        </w:rPr>
      </w:pPr>
      <w:r>
        <w:rPr>
          <w:rFonts w:hint="eastAsia" w:ascii="Times New Roman"/>
        </w:rPr>
        <w:t>NB/T20231-2023 压水堆核电厂专设安全设施设计准则</w:t>
      </w:r>
    </w:p>
    <w:p w14:paraId="6E1FC79F">
      <w:pPr>
        <w:pStyle w:val="28"/>
        <w:rPr>
          <w:rFonts w:ascii="Times New Roman"/>
        </w:rPr>
      </w:pPr>
      <w:r>
        <w:rPr>
          <w:rFonts w:hint="eastAsia" w:ascii="Times New Roman"/>
        </w:rPr>
        <w:t>EJ/T331 失水事故后流体系统的安全壳隔离装置</w:t>
      </w:r>
    </w:p>
    <w:p w14:paraId="543A01D1">
      <w:pPr>
        <w:pStyle w:val="52"/>
        <w:outlineLvl w:val="0"/>
      </w:pPr>
      <w:bookmarkStart w:id="23" w:name="_Toc26713"/>
      <w:bookmarkStart w:id="24" w:name="_Toc119570776"/>
      <w:bookmarkStart w:id="25" w:name="_Toc20348"/>
      <w:r>
        <w:rPr>
          <w:rFonts w:hint="eastAsia"/>
        </w:rPr>
        <w:t>术语和定义</w:t>
      </w:r>
      <w:bookmarkEnd w:id="23"/>
      <w:bookmarkEnd w:id="24"/>
      <w:bookmarkEnd w:id="25"/>
    </w:p>
    <w:p w14:paraId="50648DDC">
      <w:pPr>
        <w:pStyle w:val="28"/>
        <w:rPr>
          <w:rFonts w:ascii="Times New Roman"/>
        </w:rPr>
      </w:pPr>
      <w:r>
        <w:rPr>
          <w:rFonts w:ascii="Times New Roman"/>
        </w:rPr>
        <w:t>下列术语和定义适用于本标准。</w:t>
      </w:r>
    </w:p>
    <w:p w14:paraId="3CA31015">
      <w:pPr>
        <w:pStyle w:val="49"/>
        <w:spacing w:before="156" w:after="156"/>
        <w:outlineLvl w:val="1"/>
        <w:rPr>
          <w:rFonts w:hint="eastAsia"/>
        </w:rPr>
      </w:pPr>
      <w:r>
        <w:rPr>
          <w:rFonts w:hint="eastAsia"/>
        </w:rPr>
        <w:t xml:space="preserve">单一故障 single failure </w:t>
      </w:r>
    </w:p>
    <w:p w14:paraId="56ACC354">
      <w:pPr>
        <w:widowControl/>
        <w:ind w:firstLine="420" w:firstLineChars="200"/>
        <w:jc w:val="left"/>
        <w:rPr>
          <w:rFonts w:hint="eastAsia" w:ascii="宋体" w:hAnsi="宋体" w:cs="宋体"/>
          <w:color w:val="000000"/>
          <w:kern w:val="0"/>
          <w:szCs w:val="21"/>
          <w:lang w:bidi="ar"/>
        </w:rPr>
      </w:pPr>
      <w:r>
        <w:rPr>
          <w:rFonts w:hint="eastAsia" w:ascii="宋体" w:hAnsi="宋体" w:cs="宋体"/>
          <w:color w:val="000000"/>
          <w:kern w:val="0"/>
          <w:szCs w:val="21"/>
          <w:lang w:bidi="ar"/>
        </w:rPr>
        <w:t>导致单一系统或部件不能执行其预定功能的一种故障，以及由此引起的各种继发故障。</w:t>
      </w:r>
    </w:p>
    <w:p w14:paraId="3CCE5538">
      <w:pPr>
        <w:pStyle w:val="49"/>
        <w:spacing w:before="156" w:after="156"/>
        <w:outlineLvl w:val="1"/>
        <w:rPr>
          <w:rFonts w:hint="eastAsia"/>
        </w:rPr>
      </w:pPr>
      <w:r>
        <w:rPr>
          <w:rFonts w:hint="eastAsia"/>
        </w:rPr>
        <w:t xml:space="preserve">能动故障 active failure </w:t>
      </w:r>
    </w:p>
    <w:p w14:paraId="52A807CE">
      <w:pPr>
        <w:widowControl/>
        <w:ind w:firstLine="420" w:firstLineChars="200"/>
        <w:jc w:val="left"/>
      </w:pPr>
      <w:r>
        <w:rPr>
          <w:rFonts w:hint="eastAsia" w:ascii="宋体" w:hAnsi="宋体" w:cs="宋体"/>
          <w:color w:val="000000"/>
          <w:kern w:val="0"/>
          <w:szCs w:val="21"/>
          <w:lang w:bidi="ar"/>
        </w:rPr>
        <w:t xml:space="preserve">在机械流体系统中，需要靠部件的机械运动完成功能的设备接收到动作命令时，拒绝完成其功能， </w:t>
      </w:r>
    </w:p>
    <w:p w14:paraId="13404819">
      <w:pPr>
        <w:widowControl/>
        <w:jc w:val="left"/>
      </w:pPr>
      <w:r>
        <w:rPr>
          <w:rFonts w:hint="eastAsia" w:ascii="宋体" w:hAnsi="宋体" w:cs="宋体"/>
          <w:color w:val="000000"/>
          <w:kern w:val="0"/>
          <w:szCs w:val="21"/>
          <w:lang w:bidi="ar"/>
        </w:rPr>
        <w:t xml:space="preserve">这种故障称为能动故障。 </w:t>
      </w:r>
    </w:p>
    <w:p w14:paraId="241AADE4">
      <w:pPr>
        <w:pStyle w:val="49"/>
        <w:spacing w:before="156" w:after="156"/>
        <w:outlineLvl w:val="1"/>
        <w:rPr>
          <w:rFonts w:hint="eastAsia"/>
        </w:rPr>
      </w:pPr>
      <w:r>
        <w:rPr>
          <w:rFonts w:hint="eastAsia"/>
        </w:rPr>
        <w:t xml:space="preserve">非能动故障 passive failure </w:t>
      </w:r>
    </w:p>
    <w:p w14:paraId="2E8DD042">
      <w:pPr>
        <w:widowControl/>
        <w:ind w:firstLine="420" w:firstLineChars="200"/>
        <w:jc w:val="left"/>
        <w:rPr>
          <w:rFonts w:hint="eastAsia" w:ascii="宋体" w:hAnsi="宋体" w:cs="宋体"/>
          <w:color w:val="000000"/>
          <w:kern w:val="0"/>
          <w:szCs w:val="21"/>
          <w:lang w:bidi="ar"/>
        </w:rPr>
      </w:pPr>
      <w:r>
        <w:rPr>
          <w:rFonts w:hint="eastAsia" w:ascii="宋体" w:hAnsi="宋体" w:cs="宋体"/>
          <w:color w:val="000000"/>
          <w:kern w:val="0"/>
          <w:szCs w:val="21"/>
          <w:lang w:bidi="ar"/>
        </w:rPr>
        <w:t>一个部件不能保持其结构完整性或工艺流道被堵塞而不能完成其预期功能的故障</w:t>
      </w:r>
    </w:p>
    <w:p w14:paraId="117B31F2">
      <w:pPr>
        <w:pStyle w:val="49"/>
        <w:spacing w:before="156" w:after="156"/>
        <w:outlineLvl w:val="1"/>
        <w:rPr>
          <w:rFonts w:hint="eastAsia"/>
        </w:rPr>
      </w:pPr>
      <w:r>
        <w:rPr>
          <w:rFonts w:hint="eastAsia"/>
        </w:rPr>
        <w:t>短期 short term</w:t>
      </w:r>
    </w:p>
    <w:p w14:paraId="3E37CCB5">
      <w:pPr>
        <w:pStyle w:val="28"/>
      </w:pPr>
      <w:r>
        <w:rPr>
          <w:rFonts w:hint="eastAsia"/>
        </w:rPr>
        <w:t>紧接在事故发生后的一段时间，在这段时间内反应堆的自动保护发生动作，各系统的响应得到证实，事故的类型得以验明，并规定出在长期中应采取的操作。按习惯，短期指的是事故发生最初24h。</w:t>
      </w:r>
    </w:p>
    <w:p w14:paraId="7DB513A4">
      <w:pPr>
        <w:pStyle w:val="49"/>
        <w:spacing w:before="156" w:after="156"/>
        <w:outlineLvl w:val="1"/>
        <w:rPr>
          <w:rFonts w:hint="eastAsia"/>
        </w:rPr>
      </w:pPr>
      <w:r>
        <w:rPr>
          <w:rFonts w:hint="eastAsia"/>
        </w:rPr>
        <w:t>长期 long term</w:t>
      </w:r>
    </w:p>
    <w:p w14:paraId="26BF7D41">
      <w:pPr>
        <w:pStyle w:val="28"/>
      </w:pPr>
      <w:r>
        <w:rPr>
          <w:rFonts w:hint="eastAsia"/>
        </w:rPr>
        <w:t>紧接着短期之后的系统运行时间，在此期间内仍需要系统的安全功能。长期一般不少于30d。</w:t>
      </w:r>
    </w:p>
    <w:p w14:paraId="1B34F810">
      <w:pPr>
        <w:pStyle w:val="49"/>
        <w:spacing w:before="156" w:after="156"/>
        <w:outlineLvl w:val="1"/>
        <w:rPr>
          <w:rFonts w:hint="eastAsia"/>
        </w:rPr>
      </w:pPr>
      <w:r>
        <w:rPr>
          <w:rFonts w:hint="eastAsia"/>
        </w:rPr>
        <w:t>抑压装置 suppression device</w:t>
      </w:r>
    </w:p>
    <w:p w14:paraId="5A1D424C">
      <w:pPr>
        <w:pStyle w:val="28"/>
      </w:pPr>
      <w:r>
        <w:rPr>
          <w:rFonts w:hint="eastAsia"/>
        </w:rPr>
        <w:t>为本系统的核心水箱，内部储水，作为抑压热容。该水箱充有水，可吸收和冷凝事故工况下安全壳内的高能介质，同时可作为再循环水源和堆坑注水水源。</w:t>
      </w:r>
    </w:p>
    <w:p w14:paraId="2F853833">
      <w:pPr>
        <w:pStyle w:val="49"/>
        <w:spacing w:before="156" w:after="156"/>
        <w:outlineLvl w:val="1"/>
        <w:rPr>
          <w:rFonts w:hint="eastAsia"/>
        </w:rPr>
      </w:pPr>
      <w:r>
        <w:rPr>
          <w:rFonts w:hint="eastAsia"/>
        </w:rPr>
        <w:t xml:space="preserve">抑压管 suppression </w:t>
      </w:r>
      <w:r>
        <w:rPr>
          <w:rFonts w:hint="eastAsia"/>
          <w:lang w:val="en-US" w:eastAsia="zh-CN"/>
        </w:rPr>
        <w:t>t</w:t>
      </w:r>
      <w:bookmarkStart w:id="48" w:name="_GoBack"/>
      <w:bookmarkEnd w:id="48"/>
      <w:r>
        <w:rPr>
          <w:rFonts w:hint="eastAsia"/>
        </w:rPr>
        <w:t>ube</w:t>
      </w:r>
    </w:p>
    <w:p w14:paraId="24C9C728">
      <w:pPr>
        <w:pStyle w:val="28"/>
        <w:rPr>
          <w:rFonts w:ascii="Times New Roman"/>
        </w:rPr>
      </w:pPr>
      <w:bookmarkStart w:id="26" w:name="OLE_LINK13"/>
      <w:r>
        <w:rPr>
          <w:rFonts w:hint="eastAsia" w:ascii="Times New Roman"/>
        </w:rPr>
        <w:t>联通抑压装置和安全壳干井的管路，通常其末端连接鼓泡装置。作为联通安全壳干井和抑压池水空间的通道，它可同时承担非能动抑压和再循环回流通道功能。</w:t>
      </w:r>
    </w:p>
    <w:bookmarkEnd w:id="26"/>
    <w:p w14:paraId="6BEA2012">
      <w:pPr>
        <w:pStyle w:val="49"/>
        <w:tabs>
          <w:tab w:val="center" w:pos="4201"/>
          <w:tab w:val="right" w:leader="dot" w:pos="9298"/>
        </w:tabs>
        <w:spacing w:before="156" w:after="156"/>
        <w:rPr>
          <w:rFonts w:hint="eastAsia" w:ascii="Times New Roman"/>
        </w:rPr>
      </w:pPr>
      <w:bookmarkStart w:id="27" w:name="OLE_LINK6"/>
      <w:r>
        <w:rPr>
          <w:rFonts w:hint="eastAsia" w:ascii="Times New Roman"/>
        </w:rPr>
        <w:t xml:space="preserve">鼓泡装置 </w:t>
      </w:r>
      <w:r>
        <w:rPr>
          <w:rFonts w:hint="eastAsia"/>
        </w:rPr>
        <w:t>bubble generator</w:t>
      </w:r>
    </w:p>
    <w:bookmarkEnd w:id="27"/>
    <w:p w14:paraId="0FDD4AE1">
      <w:pPr>
        <w:pStyle w:val="49"/>
        <w:numPr>
          <w:ilvl w:val="1"/>
          <w:numId w:val="0"/>
        </w:numPr>
        <w:spacing w:before="156" w:after="156"/>
        <w:ind w:firstLine="420" w:firstLineChars="200"/>
        <w:rPr>
          <w:rFonts w:ascii="Times New Roman" w:hAnsi="Times New Roman" w:eastAsia="宋体"/>
          <w:szCs w:val="20"/>
        </w:rPr>
      </w:pPr>
      <w:bookmarkStart w:id="28" w:name="OLE_LINK10"/>
      <w:bookmarkStart w:id="29" w:name="OLE_LINK14"/>
      <w:r>
        <w:rPr>
          <w:rFonts w:hint="eastAsia" w:ascii="Times New Roman" w:hAnsi="Times New Roman" w:eastAsia="宋体"/>
          <w:szCs w:val="20"/>
        </w:rPr>
        <w:t>抑压管和抑压装置的连接件，</w:t>
      </w:r>
      <w:bookmarkEnd w:id="28"/>
      <w:bookmarkEnd w:id="29"/>
      <w:r>
        <w:rPr>
          <w:rFonts w:hint="eastAsia" w:ascii="Times New Roman" w:hAnsi="Times New Roman" w:eastAsia="宋体"/>
          <w:szCs w:val="20"/>
        </w:rPr>
        <w:t>设置于抑压管末端，出口采用小孔的形式以缓解蒸汽冷凝冲击效应。</w:t>
      </w:r>
    </w:p>
    <w:p w14:paraId="378E426D">
      <w:pPr>
        <w:pStyle w:val="49"/>
        <w:tabs>
          <w:tab w:val="center" w:pos="4201"/>
          <w:tab w:val="right" w:leader="dot" w:pos="9298"/>
        </w:tabs>
        <w:spacing w:before="156" w:after="156"/>
        <w:rPr>
          <w:rFonts w:hint="eastAsia" w:ascii="Times New Roman"/>
        </w:rPr>
      </w:pPr>
      <w:r>
        <w:rPr>
          <w:rFonts w:hint="eastAsia" w:ascii="Times New Roman"/>
        </w:rPr>
        <w:t xml:space="preserve">定期试验 </w:t>
      </w:r>
      <w:r>
        <w:rPr>
          <w:rFonts w:hint="eastAsia"/>
        </w:rPr>
        <w:t>periodic test</w:t>
      </w:r>
    </w:p>
    <w:p w14:paraId="67971B46">
      <w:pPr>
        <w:pStyle w:val="28"/>
      </w:pPr>
      <w:r>
        <w:rPr>
          <w:rFonts w:hint="eastAsia"/>
        </w:rPr>
        <w:t>为探测故障和检查可运行性，按计划的时间间隔所进行的试验。</w:t>
      </w:r>
    </w:p>
    <w:p w14:paraId="2AFE37CE">
      <w:pPr>
        <w:pStyle w:val="52"/>
        <w:outlineLvl w:val="0"/>
      </w:pPr>
      <w:bookmarkStart w:id="30" w:name="_Toc30206"/>
      <w:bookmarkStart w:id="31" w:name="_Toc2483"/>
      <w:r>
        <w:rPr>
          <w:rFonts w:hint="eastAsia"/>
        </w:rPr>
        <w:t>系统功能</w:t>
      </w:r>
      <w:bookmarkEnd w:id="30"/>
      <w:bookmarkEnd w:id="31"/>
    </w:p>
    <w:p w14:paraId="75AF9879">
      <w:pPr>
        <w:pStyle w:val="49"/>
        <w:spacing w:before="156" w:after="156"/>
        <w:outlineLvl w:val="1"/>
        <w:rPr>
          <w:rFonts w:hint="eastAsia"/>
        </w:rPr>
      </w:pPr>
      <w:r>
        <w:rPr>
          <w:rFonts w:hint="eastAsia"/>
        </w:rPr>
        <w:t>安全功能</w:t>
      </w:r>
    </w:p>
    <w:p w14:paraId="6C795476">
      <w:pPr>
        <w:pStyle w:val="53"/>
        <w:spacing w:before="156" w:after="156"/>
        <w:rPr>
          <w:rFonts w:hint="eastAsia"/>
        </w:rPr>
      </w:pPr>
      <w:r>
        <w:rPr>
          <w:rFonts w:hint="eastAsia"/>
        </w:rPr>
        <w:t>余热排出</w:t>
      </w:r>
    </w:p>
    <w:p w14:paraId="05AA3279">
      <w:pPr>
        <w:pStyle w:val="28"/>
      </w:pPr>
      <w:r>
        <w:rPr>
          <w:rFonts w:hint="eastAsia"/>
        </w:rPr>
        <w:t>海洋核动力平台安全壳抑压系统可主要应对质能释放类设计基准事故和破口类复杂序列事故。事故后冷却剂进入安全壳干井导致压力升高，高温高压蒸汽受压差驱动进入抑压装置并持续冷凝，安全壳干井的压力上升现象得到抑制。</w:t>
      </w:r>
    </w:p>
    <w:p w14:paraId="6D5F0C51">
      <w:pPr>
        <w:pStyle w:val="28"/>
      </w:pPr>
      <w:r>
        <w:rPr>
          <w:rFonts w:hint="eastAsia"/>
        </w:rPr>
        <w:t>抑压装置可以设计成兼具安全壳内置水箱功能，即作为一回路低压安注水源，同时可作为事故后再循环阶段的流道，将堆芯热量带出。</w:t>
      </w:r>
    </w:p>
    <w:p w14:paraId="726880C0">
      <w:pPr>
        <w:pStyle w:val="53"/>
        <w:spacing w:before="156" w:after="156"/>
        <w:rPr>
          <w:rFonts w:hint="eastAsia"/>
        </w:rPr>
      </w:pPr>
      <w:r>
        <w:rPr>
          <w:rFonts w:hint="eastAsia"/>
        </w:rPr>
        <w:t>放射性包容</w:t>
      </w:r>
    </w:p>
    <w:p w14:paraId="2E20335F">
      <w:pPr>
        <w:pStyle w:val="28"/>
      </w:pPr>
      <w:r>
        <w:rPr>
          <w:rFonts w:hint="eastAsia"/>
        </w:rPr>
        <w:t>通过海洋核动力平台安全壳抑压系统使安全壳压力保持在可接受范围内，从而避免因安全壳屏障功能丧失导致放射性核素大量释放。</w:t>
      </w:r>
    </w:p>
    <w:p w14:paraId="245F9376">
      <w:pPr>
        <w:pStyle w:val="28"/>
      </w:pPr>
      <w:r>
        <w:rPr>
          <w:rFonts w:hint="eastAsia"/>
        </w:rPr>
        <w:t>抑压装置可以设计成兼具安全壳内置水箱功能，</w:t>
      </w:r>
      <w:bookmarkStart w:id="32" w:name="OLE_LINK11"/>
      <w:r>
        <w:rPr>
          <w:rFonts w:hint="eastAsia"/>
        </w:rPr>
        <w:t>即</w:t>
      </w:r>
      <w:bookmarkEnd w:id="32"/>
      <w:r>
        <w:rPr>
          <w:rFonts w:hint="eastAsia"/>
        </w:rPr>
        <w:t>接收稳压器安全阀、余热排出系统安全阀、一回路卸压阀、严重事故卸压阀超压排放的介质，抑压装置的水具备一定水洗功能，限制放射性核素释放。</w:t>
      </w:r>
    </w:p>
    <w:p w14:paraId="01A8E871">
      <w:pPr>
        <w:pStyle w:val="28"/>
      </w:pPr>
      <w:r>
        <w:rPr>
          <w:rFonts w:hint="eastAsia"/>
        </w:rPr>
        <w:t>严重事故下，抑压装置可以执行堆坑注水功能，保持堆坑水位淹没堆芯活性段，冷却压力容器外壁面，将堆芯熔融物及放射性物质滞留于压力容器内。</w:t>
      </w:r>
    </w:p>
    <w:p w14:paraId="47E9F0F8">
      <w:pPr>
        <w:pStyle w:val="49"/>
        <w:spacing w:before="156" w:after="156"/>
        <w:outlineLvl w:val="1"/>
        <w:rPr>
          <w:rFonts w:hint="eastAsia"/>
        </w:rPr>
      </w:pPr>
      <w:r>
        <w:rPr>
          <w:rFonts w:hint="eastAsia"/>
        </w:rPr>
        <w:t>其他功能</w:t>
      </w:r>
    </w:p>
    <w:p w14:paraId="74CE4397">
      <w:pPr>
        <w:pStyle w:val="28"/>
      </w:pPr>
      <w:r>
        <w:rPr>
          <w:rFonts w:hint="eastAsia"/>
        </w:rPr>
        <w:t>抑压装置平时处于备用状态，须满足水池温度在某一范围内，须配备冷却回路。可通过通风等手段排出抑压装置内放射性气体，满足大修检修要求。</w:t>
      </w:r>
      <w:bookmarkStart w:id="33" w:name="OLE_LINK7"/>
      <w:r>
        <w:rPr>
          <w:rFonts w:hint="eastAsia"/>
        </w:rPr>
        <w:t>须设置补水接口，满足首次充水和正常运行期间的补水要求。</w:t>
      </w:r>
    </w:p>
    <w:bookmarkEnd w:id="33"/>
    <w:p w14:paraId="2803F9EF">
      <w:pPr>
        <w:pStyle w:val="52"/>
        <w:outlineLvl w:val="0"/>
      </w:pPr>
      <w:bookmarkStart w:id="34" w:name="_Toc2952"/>
      <w:bookmarkStart w:id="35" w:name="_Toc13286"/>
      <w:r>
        <w:rPr>
          <w:rFonts w:hint="eastAsia"/>
        </w:rPr>
        <w:t>系统范围</w:t>
      </w:r>
      <w:bookmarkEnd w:id="34"/>
      <w:bookmarkEnd w:id="35"/>
    </w:p>
    <w:p w14:paraId="3B9805E3">
      <w:pPr>
        <w:pStyle w:val="28"/>
      </w:pPr>
      <w:r>
        <w:rPr>
          <w:rFonts w:hint="eastAsia"/>
        </w:rPr>
        <w:t>海洋核动力平台安全壳抑压系统由执行第4章所规定功能的设备、管道等所组成，主要包括：</w:t>
      </w:r>
    </w:p>
    <w:p w14:paraId="5226BAEB">
      <w:pPr>
        <w:pStyle w:val="28"/>
        <w:numPr>
          <w:ilvl w:val="0"/>
          <w:numId w:val="18"/>
        </w:numPr>
        <w:ind w:firstLineChars="0"/>
      </w:pPr>
      <w:r>
        <w:rPr>
          <w:rFonts w:hint="eastAsia"/>
        </w:rPr>
        <w:t>抑压装置（可以兼作安全壳喷淋和一回路安全注入水源）；</w:t>
      </w:r>
    </w:p>
    <w:p w14:paraId="32DDA0F7">
      <w:pPr>
        <w:pStyle w:val="28"/>
        <w:numPr>
          <w:ilvl w:val="0"/>
          <w:numId w:val="18"/>
        </w:numPr>
        <w:ind w:firstLineChars="0"/>
      </w:pPr>
      <w:r>
        <w:rPr>
          <w:rFonts w:hint="eastAsia"/>
        </w:rPr>
        <w:t>冷却回路泵；</w:t>
      </w:r>
    </w:p>
    <w:p w14:paraId="7B74E42A">
      <w:pPr>
        <w:pStyle w:val="28"/>
        <w:numPr>
          <w:ilvl w:val="0"/>
          <w:numId w:val="18"/>
        </w:numPr>
        <w:ind w:firstLineChars="0"/>
      </w:pPr>
      <w:r>
        <w:rPr>
          <w:rFonts w:hint="eastAsia"/>
        </w:rPr>
        <w:t>热交换器；</w:t>
      </w:r>
    </w:p>
    <w:p w14:paraId="4E62278D">
      <w:pPr>
        <w:pStyle w:val="28"/>
        <w:numPr>
          <w:ilvl w:val="0"/>
          <w:numId w:val="18"/>
        </w:numPr>
        <w:ind w:firstLineChars="0"/>
      </w:pPr>
      <w:r>
        <w:rPr>
          <w:rFonts w:hint="eastAsia"/>
        </w:rPr>
        <w:t>冷却回路管线及阀门；</w:t>
      </w:r>
    </w:p>
    <w:p w14:paraId="269435A6">
      <w:pPr>
        <w:pStyle w:val="28"/>
        <w:numPr>
          <w:ilvl w:val="0"/>
          <w:numId w:val="18"/>
        </w:numPr>
        <w:ind w:firstLineChars="0"/>
      </w:pPr>
      <w:r>
        <w:rPr>
          <w:rFonts w:hint="eastAsia"/>
        </w:rPr>
        <w:t>抑压装置压力释放阀；</w:t>
      </w:r>
    </w:p>
    <w:p w14:paraId="1EDAEA96">
      <w:pPr>
        <w:pStyle w:val="28"/>
        <w:numPr>
          <w:ilvl w:val="0"/>
          <w:numId w:val="18"/>
        </w:numPr>
        <w:ind w:firstLineChars="0"/>
      </w:pPr>
      <w:r>
        <w:rPr>
          <w:rFonts w:hint="eastAsia"/>
        </w:rPr>
        <w:t>抑压装置与堆坑连接的注水管线及阀门（非必需）；</w:t>
      </w:r>
    </w:p>
    <w:p w14:paraId="4F6648B2">
      <w:pPr>
        <w:pStyle w:val="28"/>
        <w:numPr>
          <w:ilvl w:val="0"/>
          <w:numId w:val="18"/>
        </w:numPr>
        <w:ind w:firstLineChars="0"/>
      </w:pPr>
      <w:r>
        <w:rPr>
          <w:rFonts w:hint="eastAsia"/>
        </w:rPr>
        <w:t>净化单元（非必需）；</w:t>
      </w:r>
    </w:p>
    <w:p w14:paraId="21FFA417">
      <w:pPr>
        <w:pStyle w:val="28"/>
        <w:numPr>
          <w:ilvl w:val="0"/>
          <w:numId w:val="18"/>
        </w:numPr>
        <w:ind w:firstLineChars="0"/>
      </w:pPr>
      <w:r>
        <w:rPr>
          <w:rFonts w:hint="eastAsia"/>
        </w:rPr>
        <w:t>pH控制单元（非必需）。</w:t>
      </w:r>
    </w:p>
    <w:p w14:paraId="6746CE82">
      <w:pPr>
        <w:pStyle w:val="52"/>
        <w:outlineLvl w:val="0"/>
      </w:pPr>
      <w:bookmarkStart w:id="36" w:name="_Toc19447"/>
      <w:bookmarkStart w:id="37" w:name="_Toc27301"/>
      <w:r>
        <w:rPr>
          <w:rFonts w:hint="eastAsia"/>
        </w:rPr>
        <w:t>系统性能要求</w:t>
      </w:r>
      <w:bookmarkEnd w:id="36"/>
      <w:bookmarkEnd w:id="37"/>
    </w:p>
    <w:p w14:paraId="226D4E5C">
      <w:pPr>
        <w:pStyle w:val="49"/>
        <w:spacing w:before="156" w:after="156"/>
        <w:outlineLvl w:val="1"/>
        <w:rPr>
          <w:rFonts w:hint="eastAsia"/>
        </w:rPr>
      </w:pPr>
      <w:r>
        <w:rPr>
          <w:rFonts w:hint="eastAsia"/>
        </w:rPr>
        <w:t>总体要求</w:t>
      </w:r>
    </w:p>
    <w:p w14:paraId="5663DFEF">
      <w:pPr>
        <w:pStyle w:val="28"/>
      </w:pPr>
      <w:r>
        <w:rPr>
          <w:rFonts w:hint="eastAsia"/>
        </w:rPr>
        <w:t>本系统应能在机组正常运行、预期运行事件、设计基准事故和设计扩展工况下完成第4章所规定的功能，主要包括：</w:t>
      </w:r>
    </w:p>
    <w:p w14:paraId="5092BCB9">
      <w:pPr>
        <w:pStyle w:val="28"/>
      </w:pPr>
      <w:r>
        <w:rPr>
          <w:rFonts w:hint="eastAsia"/>
        </w:rPr>
        <w:t>本系统应能在下列破口类事故情况下用来抑制安全壳压力：</w:t>
      </w:r>
    </w:p>
    <w:p w14:paraId="285EEA70">
      <w:pPr>
        <w:pStyle w:val="28"/>
        <w:numPr>
          <w:ilvl w:val="0"/>
          <w:numId w:val="19"/>
        </w:numPr>
        <w:ind w:firstLineChars="0"/>
      </w:pPr>
      <w:r>
        <w:rPr>
          <w:rFonts w:hint="eastAsia"/>
        </w:rPr>
        <w:t>一回路失水事故；</w:t>
      </w:r>
    </w:p>
    <w:p w14:paraId="5C548D5F">
      <w:pPr>
        <w:pStyle w:val="28"/>
        <w:numPr>
          <w:ilvl w:val="0"/>
          <w:numId w:val="19"/>
        </w:numPr>
        <w:ind w:firstLineChars="0"/>
      </w:pPr>
      <w:r>
        <w:rPr>
          <w:rFonts w:hint="eastAsia"/>
        </w:rPr>
        <w:t>蒸汽系统管线破口事故；</w:t>
      </w:r>
    </w:p>
    <w:p w14:paraId="32C068AD">
      <w:pPr>
        <w:pStyle w:val="28"/>
        <w:numPr>
          <w:ilvl w:val="0"/>
          <w:numId w:val="19"/>
        </w:numPr>
        <w:ind w:firstLineChars="0"/>
      </w:pPr>
      <w:r>
        <w:rPr>
          <w:rFonts w:hint="eastAsia"/>
        </w:rPr>
        <w:t>给水管线破口事故；</w:t>
      </w:r>
    </w:p>
    <w:p w14:paraId="1A7C95A8">
      <w:pPr>
        <w:pStyle w:val="28"/>
        <w:numPr>
          <w:ilvl w:val="255"/>
          <w:numId w:val="0"/>
        </w:numPr>
      </w:pPr>
      <w:r>
        <w:tab/>
      </w:r>
      <w:r>
        <w:rPr>
          <w:rFonts w:hint="eastAsia"/>
        </w:rPr>
        <w:t>在正常运行、预期运行事件、设计基准事故和超设计基准事故工况下通过水洗辅助过滤放射性核素。</w:t>
      </w:r>
    </w:p>
    <w:p w14:paraId="38861B95">
      <w:pPr>
        <w:pStyle w:val="49"/>
        <w:spacing w:before="156" w:after="156"/>
        <w:outlineLvl w:val="1"/>
        <w:rPr>
          <w:rFonts w:hint="eastAsia"/>
        </w:rPr>
      </w:pPr>
      <w:r>
        <w:rPr>
          <w:rFonts w:hint="eastAsia"/>
        </w:rPr>
        <w:t>设备性能要求</w:t>
      </w:r>
    </w:p>
    <w:p w14:paraId="0BDCFCE6">
      <w:pPr>
        <w:pStyle w:val="53"/>
        <w:spacing w:before="156" w:after="156"/>
        <w:rPr>
          <w:rFonts w:hint="eastAsia"/>
        </w:rPr>
      </w:pPr>
      <w:r>
        <w:rPr>
          <w:rFonts w:hint="eastAsia"/>
        </w:rPr>
        <w:t>备用状态温度控制要求</w:t>
      </w:r>
    </w:p>
    <w:p w14:paraId="37DEA7E5">
      <w:pPr>
        <w:pStyle w:val="28"/>
      </w:pPr>
      <w:r>
        <w:rPr>
          <w:rFonts w:hint="eastAsia"/>
        </w:rPr>
        <w:t>系统长期处于备用状态，为满足抑压性能，需通过冷却回路控制备用状态下的抑压装置温度在设计范围内。</w:t>
      </w:r>
    </w:p>
    <w:p w14:paraId="73DBD9B3">
      <w:pPr>
        <w:pStyle w:val="53"/>
        <w:spacing w:before="156" w:after="156"/>
        <w:rPr>
          <w:rFonts w:hint="eastAsia"/>
        </w:rPr>
      </w:pPr>
      <w:r>
        <w:rPr>
          <w:rFonts w:hint="eastAsia"/>
        </w:rPr>
        <w:t>抑压装置/抑压管/鼓泡装置性能要求</w:t>
      </w:r>
    </w:p>
    <w:p w14:paraId="543B9C3D">
      <w:pPr>
        <w:pStyle w:val="28"/>
      </w:pPr>
      <w:r>
        <w:rPr>
          <w:rFonts w:hint="eastAsia"/>
        </w:rPr>
        <w:t>抑压装置水空间和气空间容量、抑压管和鼓泡装置结构形式满足事故后极短时间的安全壳压力控制要求。</w:t>
      </w:r>
    </w:p>
    <w:p w14:paraId="0DE5C5E0">
      <w:pPr>
        <w:pStyle w:val="53"/>
        <w:spacing w:before="156" w:after="156"/>
        <w:rPr>
          <w:rFonts w:hint="eastAsia"/>
        </w:rPr>
      </w:pPr>
      <w:r>
        <w:rPr>
          <w:rFonts w:hint="eastAsia"/>
        </w:rPr>
        <w:t>调节再循环水pH值</w:t>
      </w:r>
    </w:p>
    <w:p w14:paraId="42E4E390">
      <w:pPr>
        <w:pStyle w:val="28"/>
        <w:ind w:left="480" w:firstLine="0" w:firstLineChars="0"/>
      </w:pPr>
      <w:r>
        <w:rPr>
          <w:rFonts w:hint="eastAsia"/>
        </w:rPr>
        <w:t>为了事故后减轻设备的化学腐蚀，抑压系统可以调节再循环水的pH值，其性能要求如下：</w:t>
      </w:r>
    </w:p>
    <w:p w14:paraId="61FAE633">
      <w:pPr>
        <w:pStyle w:val="28"/>
        <w:numPr>
          <w:ilvl w:val="0"/>
          <w:numId w:val="20"/>
        </w:numPr>
      </w:pPr>
      <w:r>
        <w:rPr>
          <w:rFonts w:hint="eastAsia"/>
        </w:rPr>
        <w:t>用于控制pH值的化学药品应与系统材料、接触的涂料、硼酸等相容；</w:t>
      </w:r>
    </w:p>
    <w:p w14:paraId="715E1907">
      <w:pPr>
        <w:pStyle w:val="28"/>
        <w:numPr>
          <w:ilvl w:val="0"/>
          <w:numId w:val="20"/>
        </w:numPr>
      </w:pPr>
      <w:r>
        <w:rPr>
          <w:rFonts w:hint="eastAsia"/>
        </w:rPr>
        <w:t>应保证再循环水pH值≥7；</w:t>
      </w:r>
    </w:p>
    <w:p w14:paraId="41F30DF7">
      <w:pPr>
        <w:pStyle w:val="49"/>
        <w:spacing w:before="156" w:after="156"/>
        <w:outlineLvl w:val="1"/>
        <w:rPr>
          <w:rFonts w:hint="eastAsia"/>
        </w:rPr>
      </w:pPr>
      <w:r>
        <w:rPr>
          <w:rFonts w:hint="eastAsia"/>
        </w:rPr>
        <w:t>海洋条件性能要求</w:t>
      </w:r>
    </w:p>
    <w:p w14:paraId="246B9047">
      <w:pPr>
        <w:pStyle w:val="53"/>
        <w:spacing w:before="156" w:after="156"/>
        <w:rPr>
          <w:rFonts w:hint="eastAsia"/>
        </w:rPr>
      </w:pPr>
      <w:r>
        <w:rPr>
          <w:rFonts w:hint="eastAsia"/>
        </w:rPr>
        <w:t>应考虑海洋条件下的运动环境，如倾斜、摇摆、荡以及冲击环境，采取措施避免抑压装置内液体晃出，对系统内关键设备设置必要的抗冲击要求。</w:t>
      </w:r>
    </w:p>
    <w:p w14:paraId="4D8ABB93">
      <w:pPr>
        <w:pStyle w:val="53"/>
        <w:spacing w:before="156" w:after="156"/>
        <w:rPr>
          <w:rFonts w:hint="eastAsia"/>
        </w:rPr>
      </w:pPr>
      <w:r>
        <w:rPr>
          <w:rFonts w:hint="eastAsia"/>
        </w:rPr>
        <w:t>应考虑霉菌、油雾、盐雾等环境条件，选择合适的材料。</w:t>
      </w:r>
    </w:p>
    <w:p w14:paraId="5E4AD0B0">
      <w:pPr>
        <w:pStyle w:val="53"/>
        <w:spacing w:before="156" w:after="156"/>
        <w:rPr>
          <w:rFonts w:hint="eastAsia"/>
        </w:rPr>
      </w:pPr>
      <w:r>
        <w:rPr>
          <w:rFonts w:hint="eastAsia"/>
        </w:rPr>
        <w:t>液位测量应考虑海洋条件下的运动环境，由于差压式液位计受惯性力影响较大，建议选用多列导波雷达液位计，并考虑滤波手段平滑测量值。</w:t>
      </w:r>
    </w:p>
    <w:p w14:paraId="7734EB6B">
      <w:pPr>
        <w:pStyle w:val="52"/>
        <w:outlineLvl w:val="0"/>
      </w:pPr>
      <w:bookmarkStart w:id="38" w:name="_Toc152862480"/>
      <w:bookmarkStart w:id="39" w:name="_Toc32080"/>
      <w:bookmarkStart w:id="40" w:name="_Toc15219"/>
      <w:r>
        <w:rPr>
          <w:rFonts w:ascii="Times New Roman"/>
        </w:rPr>
        <w:t>设计要求</w:t>
      </w:r>
      <w:bookmarkEnd w:id="38"/>
      <w:bookmarkEnd w:id="39"/>
      <w:bookmarkEnd w:id="40"/>
    </w:p>
    <w:p w14:paraId="44384EE6">
      <w:pPr>
        <w:pStyle w:val="49"/>
        <w:spacing w:before="156" w:after="156"/>
        <w:outlineLvl w:val="1"/>
        <w:rPr>
          <w:rFonts w:hint="eastAsia"/>
        </w:rPr>
      </w:pPr>
      <w:bookmarkStart w:id="41" w:name="_Toc119570811"/>
      <w:r>
        <w:rPr>
          <w:rFonts w:hint="eastAsia" w:ascii="Times New Roman"/>
        </w:rPr>
        <w:t>安全等级</w:t>
      </w:r>
    </w:p>
    <w:p w14:paraId="3F379E1A">
      <w:pPr>
        <w:pStyle w:val="28"/>
      </w:pPr>
      <w:r>
        <w:rPr>
          <w:rFonts w:hint="eastAsia"/>
        </w:rPr>
        <w:t>本系统部件的安全等级、</w:t>
      </w:r>
      <w:r>
        <w:t>抗冲击</w:t>
      </w:r>
      <w:r>
        <w:rPr>
          <w:rFonts w:hint="eastAsia"/>
        </w:rPr>
        <w:t>要求、规范等级应遵照GB/T 17569或者HAD10203-2025划分。</w:t>
      </w:r>
    </w:p>
    <w:p w14:paraId="53B92F66">
      <w:pPr>
        <w:pStyle w:val="28"/>
      </w:pPr>
      <w:r>
        <w:rPr>
          <w:rFonts w:hint="eastAsia"/>
        </w:rPr>
        <w:t>抑压主系统的设备和管道属于安全2级，系统边界包括完成其特有安全功能所需的设备及管线。其他维持系统备用状态的冷却回路、净化回路上设备和管线属于安全重要非安全级。</w:t>
      </w:r>
    </w:p>
    <w:p w14:paraId="025C41BD">
      <w:pPr>
        <w:pStyle w:val="28"/>
      </w:pPr>
      <w:r>
        <w:rPr>
          <w:rFonts w:hint="eastAsia"/>
        </w:rPr>
        <w:t>堆坑注水回路为严重事故使用，属于安全重要非安全级</w:t>
      </w:r>
      <w:r>
        <w:t>（若有）</w:t>
      </w:r>
      <w:r>
        <w:rPr>
          <w:rFonts w:hint="eastAsia"/>
        </w:rPr>
        <w:t>。</w:t>
      </w:r>
    </w:p>
    <w:p w14:paraId="28528F6E">
      <w:pPr>
        <w:pStyle w:val="28"/>
      </w:pPr>
      <w:r>
        <w:rPr>
          <w:rFonts w:hint="eastAsia"/>
        </w:rPr>
        <w:t>系统内所有安全2级机械部件属于</w:t>
      </w:r>
      <w:r>
        <w:t>抗冲击</w:t>
      </w:r>
      <w:r>
        <w:rPr>
          <w:rFonts w:hint="eastAsia"/>
        </w:rPr>
        <w:t>Ⅰ类，安全重要非安全级设备</w:t>
      </w:r>
      <w:r>
        <w:t>抗冲击</w:t>
      </w:r>
      <w:r>
        <w:rPr>
          <w:rFonts w:hint="eastAsia"/>
        </w:rPr>
        <w:t>等级需逐个分析。</w:t>
      </w:r>
    </w:p>
    <w:p w14:paraId="02554968">
      <w:pPr>
        <w:pStyle w:val="28"/>
      </w:pPr>
      <w:r>
        <w:rPr>
          <w:rFonts w:hint="eastAsia"/>
        </w:rPr>
        <w:t>本系统所有执行安全功能的电气设备及触发系统电路是安全级（1E），其与安全有关的仪表、控制、阀门联锁装置及专设安全设施触发系统电路均属于</w:t>
      </w:r>
      <w:r>
        <w:t>抗冲击</w:t>
      </w:r>
      <w:r>
        <w:rPr>
          <w:rFonts w:hint="eastAsia"/>
        </w:rPr>
        <w:t>Ⅰ类。</w:t>
      </w:r>
    </w:p>
    <w:p w14:paraId="1CEDC81E">
      <w:pPr>
        <w:pStyle w:val="49"/>
        <w:spacing w:before="156" w:after="156"/>
        <w:outlineLvl w:val="1"/>
        <w:rPr>
          <w:rFonts w:hint="eastAsia" w:ascii="Times New Roman"/>
        </w:rPr>
      </w:pPr>
      <w:bookmarkStart w:id="42" w:name="OLE_LINK2"/>
      <w:r>
        <w:rPr>
          <w:rFonts w:hint="eastAsia"/>
        </w:rPr>
        <w:t>系统设计要求</w:t>
      </w:r>
      <w:bookmarkStart w:id="43" w:name="_Toc119570799"/>
    </w:p>
    <w:p w14:paraId="6922D641">
      <w:pPr>
        <w:pStyle w:val="53"/>
        <w:spacing w:before="156" w:after="156"/>
        <w:rPr>
          <w:rFonts w:hint="eastAsia"/>
        </w:rPr>
      </w:pPr>
      <w:r>
        <w:rPr>
          <w:rFonts w:hint="eastAsia"/>
        </w:rPr>
        <w:t>单一故障准则</w:t>
      </w:r>
    </w:p>
    <w:p w14:paraId="788264A9">
      <w:pPr>
        <w:ind w:firstLine="420" w:firstLineChars="200"/>
      </w:pPr>
      <w:r>
        <w:rPr>
          <w:rFonts w:hint="eastAsia"/>
        </w:rPr>
        <w:t>本系统设计应遵循单一故障准则。本系统应参照HAFJ0006和</w:t>
      </w:r>
      <w:r>
        <w:t>GB/T 13626-2021</w:t>
      </w:r>
      <w:r>
        <w:rPr>
          <w:rFonts w:hint="eastAsia"/>
        </w:rPr>
        <w:t>的要求区分能动和非能动单一故障。事故后“短期”阶段需使用的部分允许单一能动部件发生故障，事故后“长期”阶段需使用的部分允许单一能动部件或单一非能动部件发生故障。</w:t>
      </w:r>
    </w:p>
    <w:p w14:paraId="3D5C9A8F">
      <w:pPr>
        <w:ind w:firstLine="420" w:firstLineChars="200"/>
      </w:pPr>
      <w:r>
        <w:rPr>
          <w:rFonts w:hint="eastAsia"/>
        </w:rPr>
        <w:t>为满足单一故障准则，应采取如下措施：</w:t>
      </w:r>
    </w:p>
    <w:p w14:paraId="24A240D5">
      <w:pPr>
        <w:pStyle w:val="28"/>
        <w:numPr>
          <w:ilvl w:val="0"/>
          <w:numId w:val="21"/>
        </w:numPr>
      </w:pPr>
      <w:r>
        <w:rPr>
          <w:rFonts w:hint="eastAsia"/>
        </w:rPr>
        <w:t>抑压装置压力释放阀独立设置至少2个</w:t>
      </w:r>
      <w:bookmarkEnd w:id="43"/>
      <w:r>
        <w:rPr>
          <w:rFonts w:hint="eastAsia"/>
        </w:rPr>
        <w:t>，且单个压力释放阀喉径满足安全分析要求；</w:t>
      </w:r>
    </w:p>
    <w:p w14:paraId="7F9DFFE5">
      <w:pPr>
        <w:pStyle w:val="28"/>
        <w:numPr>
          <w:ilvl w:val="0"/>
          <w:numId w:val="21"/>
        </w:numPr>
      </w:pPr>
      <w:r>
        <w:rPr>
          <w:rFonts w:hint="eastAsia"/>
        </w:rPr>
        <w:t>抑压管及末端鼓泡装置为非能动部件，且为事故后</w:t>
      </w:r>
      <w:r>
        <w:rPr>
          <w:rFonts w:hint="eastAsia"/>
          <w:lang w:val="en-US" w:eastAsia="zh-CN"/>
        </w:rPr>
        <w:t>30min内</w:t>
      </w:r>
      <w:r>
        <w:rPr>
          <w:rFonts w:hint="eastAsia"/>
        </w:rPr>
        <w:t>使用，可设置为1个，若抑压管上串联了影响功能的能动设备，则独立设置2个，且单个抑压管和鼓泡装置流动面积满足安全分析要求；</w:t>
      </w:r>
    </w:p>
    <w:p w14:paraId="6B6EF032">
      <w:pPr>
        <w:pStyle w:val="28"/>
        <w:numPr>
          <w:ilvl w:val="0"/>
          <w:numId w:val="21"/>
        </w:numPr>
      </w:pPr>
      <w:r>
        <w:rPr>
          <w:rFonts w:hint="eastAsia"/>
        </w:rPr>
        <w:t>若抑压装置冷却回路执行安全功能，须设置2个容量为100%、相互独立的冷却回路；</w:t>
      </w:r>
    </w:p>
    <w:p w14:paraId="1A019FAF">
      <w:pPr>
        <w:pStyle w:val="28"/>
        <w:numPr>
          <w:ilvl w:val="0"/>
          <w:numId w:val="21"/>
        </w:numPr>
      </w:pPr>
      <w:r>
        <w:rPr>
          <w:rFonts w:hint="eastAsia"/>
        </w:rPr>
        <w:t>抑压系统的投运一般无需信号触发，若设置成需信号投入触发，则触发系统应参照相应的1E级电气系统标准。</w:t>
      </w:r>
    </w:p>
    <w:p w14:paraId="4B57B73E">
      <w:pPr>
        <w:pStyle w:val="53"/>
        <w:spacing w:before="156" w:after="156"/>
        <w:rPr>
          <w:rFonts w:hint="eastAsia"/>
        </w:rPr>
      </w:pPr>
      <w:r>
        <w:rPr>
          <w:rFonts w:hint="eastAsia"/>
        </w:rPr>
        <w:t>安全壳隔离相关要求</w:t>
      </w:r>
    </w:p>
    <w:p w14:paraId="7F1DA7FA">
      <w:pPr>
        <w:pStyle w:val="28"/>
      </w:pPr>
      <w:r>
        <w:rPr>
          <w:rFonts w:hint="eastAsia"/>
        </w:rPr>
        <w:t>安全壳隔离阀参照隔离阀通用配置原则EJ/T331，在壳内外各配置单个隔离阀或在壳外配置双重隔离。</w:t>
      </w:r>
    </w:p>
    <w:p w14:paraId="2FC21596">
      <w:pPr>
        <w:pStyle w:val="53"/>
        <w:spacing w:before="156" w:after="156"/>
        <w:rPr>
          <w:rFonts w:hint="eastAsia"/>
        </w:rPr>
      </w:pPr>
      <w:r>
        <w:rPr>
          <w:rFonts w:hint="eastAsia"/>
        </w:rPr>
        <w:t>保证泵汽蚀余量</w:t>
      </w:r>
    </w:p>
    <w:p w14:paraId="43C2E765">
      <w:pPr>
        <w:pStyle w:val="28"/>
      </w:pPr>
      <w:r>
        <w:rPr>
          <w:rFonts w:hint="eastAsia"/>
        </w:rPr>
        <w:t>系统设计应保证系统内泵的有效汽蚀余量（NPSHa）大于泵的必须汽蚀余量（NPSHr）。应对备用状态和事故后状态（若设计成事故后本系统冷却列需投运则需要）内系统所能提供给泵的实际净正吸入压头进行必要的计算，防止泵运行时发生汽蚀。若保守计算，则不可考虑事故后抑压装置内气空间背压的增加；一般来说，计算中可以考虑事故后抑压装置内气空间背压的增加。同时，需考虑抑压装置内水装量的变化导致的液位变化。</w:t>
      </w:r>
    </w:p>
    <w:p w14:paraId="2733E79B">
      <w:pPr>
        <w:pStyle w:val="28"/>
      </w:pPr>
      <w:r>
        <w:rPr>
          <w:rFonts w:hint="eastAsia"/>
        </w:rPr>
        <w:t>抑压装置内的水容量应考虑抑压功能所需的初始容量，并包含下列潜在来源：反应堆冷却剂系统装量、应急堆芯冷却系统装量。</w:t>
      </w:r>
    </w:p>
    <w:p w14:paraId="0D48FDF4">
      <w:pPr>
        <w:pStyle w:val="28"/>
      </w:pPr>
      <w:r>
        <w:rPr>
          <w:rFonts w:hint="eastAsia"/>
        </w:rPr>
        <w:t>另外，还需考虑滞留的水体积，包括滞留在压力容器坑、蒸汽发生器坑、安全壳壁面及其他结构积水。</w:t>
      </w:r>
    </w:p>
    <w:p w14:paraId="4443288C">
      <w:pPr>
        <w:pStyle w:val="53"/>
        <w:spacing w:before="156" w:after="156"/>
        <w:rPr>
          <w:rFonts w:hint="eastAsia"/>
        </w:rPr>
      </w:pPr>
      <w:r>
        <w:rPr>
          <w:rFonts w:hint="eastAsia"/>
        </w:rPr>
        <w:t>第三道屏障功能</w:t>
      </w:r>
    </w:p>
    <w:p w14:paraId="5F775175">
      <w:pPr>
        <w:pStyle w:val="28"/>
      </w:pPr>
      <w:r>
        <w:rPr>
          <w:rFonts w:hint="eastAsia"/>
        </w:rPr>
        <w:t>如果系统中输送放射性水部分位于安全壳外，则系统的失效将导致安全壳旁通，这部分将承担类似安全壳的第三道屏障功能，需参照安全壳的屏障功能所需要求进行设计。</w:t>
      </w:r>
    </w:p>
    <w:bookmarkEnd w:id="42"/>
    <w:p w14:paraId="7F7CE418">
      <w:pPr>
        <w:pStyle w:val="49"/>
        <w:spacing w:before="156" w:after="156"/>
        <w:outlineLvl w:val="1"/>
        <w:rPr>
          <w:rFonts w:hint="eastAsia"/>
        </w:rPr>
      </w:pPr>
      <w:r>
        <w:rPr>
          <w:rFonts w:hint="eastAsia" w:ascii="Times New Roman"/>
        </w:rPr>
        <w:t>设备设计要求</w:t>
      </w:r>
    </w:p>
    <w:p w14:paraId="754770D0">
      <w:pPr>
        <w:pStyle w:val="28"/>
      </w:pPr>
      <w:r>
        <w:rPr>
          <w:rFonts w:hint="eastAsia"/>
        </w:rPr>
        <w:t>系统内设备和部件应按照其工作条件、功能要求和制造工艺合理地选择材料。</w:t>
      </w:r>
    </w:p>
    <w:p w14:paraId="50BFE4C1">
      <w:pPr>
        <w:pStyle w:val="53"/>
        <w:spacing w:before="156" w:after="156"/>
        <w:rPr>
          <w:rFonts w:hint="eastAsia"/>
        </w:rPr>
      </w:pPr>
      <w:r>
        <w:rPr>
          <w:rFonts w:hint="eastAsia"/>
        </w:rPr>
        <w:t>抑压装置</w:t>
      </w:r>
    </w:p>
    <w:p w14:paraId="6CB7B06E">
      <w:pPr>
        <w:pStyle w:val="28"/>
      </w:pPr>
      <w:r>
        <w:rPr>
          <w:rFonts w:hint="eastAsia"/>
        </w:rPr>
        <w:t>抑压装置应设置水空间和气空间以满足水温波动和蒸汽注入带来的水体积变化。抑压装置容量应经过分析，满足事故后安全壳</w:t>
      </w:r>
      <w:r>
        <w:rPr>
          <w:rFonts w:hint="eastAsia"/>
          <w:lang w:val="en-US" w:eastAsia="zh-CN"/>
        </w:rPr>
        <w:t>30min内</w:t>
      </w:r>
      <w:r>
        <w:rPr>
          <w:rFonts w:hint="eastAsia"/>
        </w:rPr>
        <w:t>压力控制要求。设计基准事故下，安全壳内的高温高压蒸汽可通过抑压管进入抑压装置水空间进行冷凝，不可凝气体进入抑压装置气空间。抑压装置的结构设计需考虑海上特有始发事件的冲击载荷、水装量的测量和控制需考虑海洋环境导致的倾斜摇摆。</w:t>
      </w:r>
    </w:p>
    <w:p w14:paraId="5DF85083">
      <w:pPr>
        <w:pStyle w:val="53"/>
        <w:spacing w:before="156" w:after="156"/>
        <w:rPr>
          <w:rFonts w:hint="eastAsia"/>
        </w:rPr>
      </w:pPr>
      <w:r>
        <w:rPr>
          <w:rFonts w:hint="eastAsia"/>
        </w:rPr>
        <w:t>抑压管</w:t>
      </w:r>
    </w:p>
    <w:p w14:paraId="1A35A8CE">
      <w:pPr>
        <w:pStyle w:val="28"/>
      </w:pPr>
      <w:r>
        <w:rPr>
          <w:rFonts w:hint="eastAsia" w:ascii="Times New Roman"/>
        </w:rPr>
        <w:t>抑压管联通抑压装置和安全壳干井的管路，通常其末端连接鼓泡装置。</w:t>
      </w:r>
      <w:r>
        <w:rPr>
          <w:rFonts w:hint="eastAsia"/>
        </w:rPr>
        <w:t>抑压管作为安全壳内气、汽、液向抑压装置泄放的通道，满足事故后降低安全壳干井压力需求，其在抑压装置内出口应尽量低。</w:t>
      </w:r>
    </w:p>
    <w:p w14:paraId="179999F1">
      <w:pPr>
        <w:pStyle w:val="53"/>
        <w:spacing w:before="156" w:after="156"/>
        <w:rPr>
          <w:rFonts w:hint="eastAsia"/>
        </w:rPr>
      </w:pPr>
      <w:r>
        <w:rPr>
          <w:rFonts w:hint="eastAsia"/>
        </w:rPr>
        <w:t>鼓泡装置</w:t>
      </w:r>
    </w:p>
    <w:p w14:paraId="7AB36161">
      <w:pPr>
        <w:pStyle w:val="28"/>
      </w:pPr>
      <w:r>
        <w:rPr>
          <w:rFonts w:hint="eastAsia"/>
        </w:rPr>
        <w:t>鼓泡装置连接于抑压管末端，防止抑压管直接排放导致对抑压装置内水过度搅混。鼓泡装置需设计多孔结构以减弱气泡湮灭速度，降低振动，孔径和总流通面积满足最恶劣始发事件下的压力控制需求。鼓泡装置的开孔总面积需满足抑压要求。</w:t>
      </w:r>
    </w:p>
    <w:p w14:paraId="4EABB43C">
      <w:pPr>
        <w:pStyle w:val="53"/>
        <w:spacing w:before="156" w:after="156"/>
        <w:rPr>
          <w:rFonts w:hint="eastAsia"/>
        </w:rPr>
      </w:pPr>
      <w:r>
        <w:rPr>
          <w:rFonts w:hint="eastAsia"/>
        </w:rPr>
        <w:t>压力释放装置</w:t>
      </w:r>
    </w:p>
    <w:p w14:paraId="2C2E2E26">
      <w:pPr>
        <w:pStyle w:val="28"/>
      </w:pPr>
      <w:r>
        <w:rPr>
          <w:rFonts w:hint="eastAsia"/>
        </w:rPr>
        <w:t>压力释放装置主要设置在抑压装置湿井气空间与安全壳干井之间，实现破口类设计基准和扩展工况下抑压装置与干井之间的压力平衡，泄放面积应满足抑压装置超压泄放流量要求，防止抑压装置超压导致抑压装置水倒流入安全壳干井。</w:t>
      </w:r>
    </w:p>
    <w:p w14:paraId="02AD452B">
      <w:pPr>
        <w:pStyle w:val="53"/>
        <w:spacing w:before="156" w:after="156"/>
        <w:rPr>
          <w:rFonts w:hint="eastAsia"/>
        </w:rPr>
      </w:pPr>
      <w:r>
        <w:rPr>
          <w:rFonts w:hint="eastAsia"/>
        </w:rPr>
        <w:t>冷却回路泵</w:t>
      </w:r>
    </w:p>
    <w:p w14:paraId="4C434289">
      <w:pPr>
        <w:pStyle w:val="28"/>
      </w:pPr>
      <w:r>
        <w:rPr>
          <w:rFonts w:hint="eastAsia"/>
        </w:rPr>
        <w:t>冷却回路泵流量和扬程应与冷却回路匹配，满足控制抑压装置备用状态下水温的要求。</w:t>
      </w:r>
    </w:p>
    <w:p w14:paraId="4B5C594A">
      <w:pPr>
        <w:pStyle w:val="53"/>
        <w:spacing w:before="156" w:after="156"/>
        <w:rPr>
          <w:rFonts w:hint="eastAsia"/>
        </w:rPr>
      </w:pPr>
      <w:bookmarkStart w:id="44" w:name="OLE_LINK9"/>
      <w:r>
        <w:rPr>
          <w:rFonts w:hint="eastAsia"/>
        </w:rPr>
        <w:t>热交换器</w:t>
      </w:r>
    </w:p>
    <w:bookmarkEnd w:id="44"/>
    <w:p w14:paraId="30DA3C5B">
      <w:pPr>
        <w:pStyle w:val="28"/>
      </w:pPr>
      <w:bookmarkStart w:id="45" w:name="OLE_LINK12"/>
      <w:r>
        <w:rPr>
          <w:rFonts w:hint="eastAsia"/>
        </w:rPr>
        <w:t>冷却回路热交换器容量、结构材料和设计标准应满足系统功能要求。</w:t>
      </w:r>
      <w:bookmarkEnd w:id="45"/>
    </w:p>
    <w:p w14:paraId="3F4A4C0C">
      <w:pPr>
        <w:pStyle w:val="28"/>
      </w:pPr>
      <w:r>
        <w:rPr>
          <w:rFonts w:hint="eastAsia"/>
        </w:rPr>
        <w:t>热交换器的设计应保证在设计寿期内各系统瞬态不会导致任何机械损伤，满足设备疲劳校核。</w:t>
      </w:r>
    </w:p>
    <w:p w14:paraId="20542BCC">
      <w:pPr>
        <w:pStyle w:val="53"/>
        <w:spacing w:before="156" w:after="156"/>
        <w:rPr>
          <w:rFonts w:hint="eastAsia"/>
        </w:rPr>
      </w:pPr>
      <w:r>
        <w:rPr>
          <w:rFonts w:hint="eastAsia"/>
        </w:rPr>
        <w:t>净化单元</w:t>
      </w:r>
    </w:p>
    <w:p w14:paraId="5820F6DE">
      <w:pPr>
        <w:pStyle w:val="28"/>
      </w:pPr>
      <w:r>
        <w:t>如需设置净化单元，该</w:t>
      </w:r>
      <w:r>
        <w:rPr>
          <w:rFonts w:hint="eastAsia"/>
        </w:rPr>
        <w:t>单元需满足抑压装置水净化需求，</w:t>
      </w:r>
      <w:r>
        <w:t>包括</w:t>
      </w:r>
      <w:r>
        <w:rPr>
          <w:rFonts w:hint="eastAsia"/>
        </w:rPr>
        <w:t>控制水质，包括pH值、颗粒物、核素等，需设置净化回路水温监测和隔离功能，防止高温损坏净化单元。</w:t>
      </w:r>
    </w:p>
    <w:p w14:paraId="03AB809D">
      <w:pPr>
        <w:pStyle w:val="49"/>
        <w:spacing w:before="156" w:after="156"/>
        <w:outlineLvl w:val="1"/>
        <w:rPr>
          <w:rFonts w:hint="eastAsia"/>
        </w:rPr>
      </w:pPr>
      <w:r>
        <w:rPr>
          <w:rFonts w:hint="eastAsia" w:ascii="Times New Roman"/>
        </w:rPr>
        <w:t>机械设计要求</w:t>
      </w:r>
    </w:p>
    <w:p w14:paraId="6571B1F8">
      <w:pPr>
        <w:pStyle w:val="28"/>
      </w:pPr>
      <w:r>
        <w:rPr>
          <w:rFonts w:hint="eastAsia"/>
        </w:rPr>
        <w:t>系统设计应保证在系统功能应对的工况下保持系统压力边界的完整性。</w:t>
      </w:r>
    </w:p>
    <w:p w14:paraId="55C55401">
      <w:pPr>
        <w:pStyle w:val="28"/>
      </w:pPr>
      <w:r>
        <w:rPr>
          <w:rFonts w:hint="eastAsia"/>
        </w:rPr>
        <w:t>机械设备的设计应考虑机组正常运行、事故运行及内外部灾害带来的载荷。</w:t>
      </w:r>
    </w:p>
    <w:p w14:paraId="0E348D32">
      <w:pPr>
        <w:pStyle w:val="28"/>
      </w:pPr>
      <w:r>
        <w:rPr>
          <w:rFonts w:hint="eastAsia"/>
        </w:rPr>
        <w:t>系统部件的支承件和限位器设计应能承受系统设计所使用的载荷组合。</w:t>
      </w:r>
    </w:p>
    <w:p w14:paraId="1119810C">
      <w:pPr>
        <w:pStyle w:val="28"/>
      </w:pPr>
      <w:r>
        <w:rPr>
          <w:rFonts w:hint="eastAsia"/>
        </w:rPr>
        <w:t>系统的结构材料应与系统功能要求投运的工况水化学特征相适应。</w:t>
      </w:r>
    </w:p>
    <w:p w14:paraId="1A786096">
      <w:pPr>
        <w:pStyle w:val="28"/>
      </w:pPr>
      <w:r>
        <w:rPr>
          <w:rFonts w:hint="eastAsia"/>
        </w:rPr>
        <w:t>系统设计应遵照EJ/T335的有关要求，采取必要的防护措施，当本系统周围区域内其他设备和管线发生损坏时，本系统的设备和管线应能避免收到影响。</w:t>
      </w:r>
    </w:p>
    <w:p w14:paraId="171E08F3">
      <w:pPr>
        <w:pStyle w:val="49"/>
        <w:spacing w:before="156" w:after="156"/>
        <w:outlineLvl w:val="1"/>
        <w:rPr>
          <w:rFonts w:hint="eastAsia"/>
        </w:rPr>
      </w:pPr>
      <w:bookmarkStart w:id="46" w:name="OLE_LINK5"/>
      <w:r>
        <w:rPr>
          <w:rFonts w:hint="eastAsia" w:ascii="Times New Roman"/>
        </w:rPr>
        <w:t>电气设计要求</w:t>
      </w:r>
    </w:p>
    <w:p w14:paraId="764A1D6D">
      <w:pPr>
        <w:pStyle w:val="28"/>
      </w:pPr>
      <w:r>
        <w:rPr>
          <w:rFonts w:hint="eastAsia"/>
        </w:rPr>
        <w:t>系统中执行安全功能的用电设备的供电设计应符合安全级供电需求，挂载安全级电源。</w:t>
      </w:r>
    </w:p>
    <w:p w14:paraId="1457E5EC">
      <w:pPr>
        <w:pStyle w:val="28"/>
      </w:pPr>
      <w:r>
        <w:rPr>
          <w:rFonts w:hint="eastAsia"/>
        </w:rPr>
        <w:t>在失去非应急电源情况下，应急电源应自动投入供电，系统重要用电设备应自动按应急电源加载顺序投运。</w:t>
      </w:r>
    </w:p>
    <w:bookmarkEnd w:id="46"/>
    <w:p w14:paraId="0B1C4403">
      <w:pPr>
        <w:pStyle w:val="49"/>
        <w:spacing w:before="156" w:after="156"/>
        <w:outlineLvl w:val="1"/>
        <w:rPr>
          <w:rFonts w:hint="eastAsia"/>
        </w:rPr>
      </w:pPr>
      <w:r>
        <w:rPr>
          <w:rFonts w:hint="eastAsia" w:ascii="Times New Roman"/>
        </w:rPr>
        <w:t>仪表和控制设计要求</w:t>
      </w:r>
    </w:p>
    <w:p w14:paraId="5669E02F">
      <w:pPr>
        <w:pStyle w:val="28"/>
      </w:pPr>
      <w:r>
        <w:rPr>
          <w:rFonts w:hint="eastAsia"/>
        </w:rPr>
        <w:t>应设置必要的仪表，以显示本系统的备用状态、运行状态以及系统的压力和温度等参数。</w:t>
      </w:r>
    </w:p>
    <w:p w14:paraId="36CA54A6">
      <w:pPr>
        <w:pStyle w:val="28"/>
      </w:pPr>
      <w:r>
        <w:rPr>
          <w:rFonts w:hint="eastAsia"/>
        </w:rPr>
        <w:t>本系统应该在主控室进行操作。在主控室中至少应对本系统的下述参数给予显示和（或）报警：</w:t>
      </w:r>
    </w:p>
    <w:p w14:paraId="0B1E3B86">
      <w:pPr>
        <w:pStyle w:val="28"/>
        <w:numPr>
          <w:ilvl w:val="0"/>
          <w:numId w:val="22"/>
        </w:numPr>
      </w:pPr>
      <w:r>
        <w:rPr>
          <w:rFonts w:hint="eastAsia"/>
        </w:rPr>
        <w:t>抑压装置液位。</w:t>
      </w:r>
    </w:p>
    <w:p w14:paraId="21DE47A4">
      <w:pPr>
        <w:pStyle w:val="28"/>
        <w:numPr>
          <w:ilvl w:val="0"/>
          <w:numId w:val="22"/>
        </w:numPr>
      </w:pPr>
      <w:r>
        <w:rPr>
          <w:rFonts w:hint="eastAsia"/>
        </w:rPr>
        <w:t>抑压装置水温；</w:t>
      </w:r>
    </w:p>
    <w:p w14:paraId="676F2EC0">
      <w:pPr>
        <w:pStyle w:val="28"/>
        <w:numPr>
          <w:ilvl w:val="0"/>
          <w:numId w:val="22"/>
        </w:numPr>
      </w:pPr>
      <w:r>
        <w:rPr>
          <w:rFonts w:hint="eastAsia"/>
        </w:rPr>
        <w:t>抑压装置和安全壳干井压差；</w:t>
      </w:r>
    </w:p>
    <w:p w14:paraId="2F61633A">
      <w:pPr>
        <w:pStyle w:val="28"/>
        <w:numPr>
          <w:ilvl w:val="0"/>
          <w:numId w:val="22"/>
        </w:numPr>
      </w:pPr>
      <w:r>
        <w:rPr>
          <w:rFonts w:hint="eastAsia"/>
        </w:rPr>
        <w:t>冷却回路流量；</w:t>
      </w:r>
    </w:p>
    <w:p w14:paraId="46287BFD">
      <w:pPr>
        <w:pStyle w:val="28"/>
        <w:numPr>
          <w:ilvl w:val="0"/>
          <w:numId w:val="22"/>
        </w:numPr>
      </w:pPr>
      <w:r>
        <w:rPr>
          <w:rFonts w:hint="eastAsia"/>
        </w:rPr>
        <w:t>重要阀门状态；</w:t>
      </w:r>
    </w:p>
    <w:p w14:paraId="1A298389">
      <w:pPr>
        <w:pStyle w:val="28"/>
        <w:numPr>
          <w:ilvl w:val="0"/>
          <w:numId w:val="22"/>
        </w:numPr>
      </w:pPr>
      <w:r>
        <w:rPr>
          <w:rFonts w:hint="eastAsia"/>
        </w:rPr>
        <w:t>净化回路温度；</w:t>
      </w:r>
    </w:p>
    <w:p w14:paraId="45A7E474">
      <w:pPr>
        <w:pStyle w:val="49"/>
        <w:spacing w:before="156" w:after="156"/>
        <w:outlineLvl w:val="1"/>
        <w:rPr>
          <w:rFonts w:hint="eastAsia"/>
        </w:rPr>
      </w:pPr>
      <w:r>
        <w:rPr>
          <w:rFonts w:hint="eastAsia" w:ascii="Times New Roman"/>
        </w:rPr>
        <w:t>接口要求</w:t>
      </w:r>
    </w:p>
    <w:p w14:paraId="54F40D22">
      <w:pPr>
        <w:pStyle w:val="53"/>
        <w:spacing w:before="156" w:after="156"/>
        <w:rPr>
          <w:rFonts w:hint="eastAsia"/>
        </w:rPr>
      </w:pPr>
      <w:r>
        <w:rPr>
          <w:rFonts w:hint="eastAsia"/>
        </w:rPr>
        <w:t>安注水源的接口要求</w:t>
      </w:r>
    </w:p>
    <w:p w14:paraId="31A8A6C5">
      <w:pPr>
        <w:pStyle w:val="28"/>
      </w:pPr>
      <w:r>
        <w:rPr>
          <w:rFonts w:hint="eastAsia"/>
        </w:rPr>
        <w:t>若抑压装置作为堆芯冷却系统的</w:t>
      </w:r>
      <w:r>
        <w:t>直接</w:t>
      </w:r>
      <w:r>
        <w:rPr>
          <w:rFonts w:hint="eastAsia"/>
        </w:rPr>
        <w:t>水源，需分别设置两列堆芯冷却系统接口，该接口应满足安全注入流量要求。</w:t>
      </w:r>
    </w:p>
    <w:p w14:paraId="2E12B01B">
      <w:pPr>
        <w:pStyle w:val="28"/>
      </w:pPr>
      <w:r>
        <w:rPr>
          <w:rFonts w:hint="eastAsia"/>
        </w:rPr>
        <w:t>若堆芯冷却系统设置有单独水箱，抑压装置仅作为再循环注入</w:t>
      </w:r>
      <w:r>
        <w:t>阶段取水</w:t>
      </w:r>
      <w:r>
        <w:rPr>
          <w:rFonts w:hint="eastAsia"/>
        </w:rPr>
        <w:t>水源，则接口应实现两个水源在</w:t>
      </w:r>
      <w:r>
        <w:t>直接注入</w:t>
      </w:r>
      <w:r>
        <w:rPr>
          <w:rFonts w:hint="eastAsia"/>
        </w:rPr>
        <w:t>阶段</w:t>
      </w:r>
      <w:r>
        <w:t>到再循环注入阶段</w:t>
      </w:r>
      <w:r>
        <w:rPr>
          <w:rFonts w:hint="eastAsia"/>
        </w:rPr>
        <w:t>的快速切换。</w:t>
      </w:r>
    </w:p>
    <w:p w14:paraId="1DFABBCD">
      <w:pPr>
        <w:pStyle w:val="53"/>
        <w:spacing w:before="156" w:after="156"/>
        <w:rPr>
          <w:rFonts w:hint="eastAsia"/>
        </w:rPr>
      </w:pPr>
      <w:r>
        <w:rPr>
          <w:rFonts w:hint="eastAsia"/>
        </w:rPr>
        <w:t>安全壳喷淋系统的接口要求</w:t>
      </w:r>
    </w:p>
    <w:p w14:paraId="37035F98">
      <w:pPr>
        <w:pStyle w:val="28"/>
      </w:pPr>
      <w:r>
        <w:rPr>
          <w:rFonts w:hint="eastAsia"/>
        </w:rPr>
        <w:t>若抑压装置作为安全壳喷淋系统水源，需设置喷淋系统接口。</w:t>
      </w:r>
    </w:p>
    <w:p w14:paraId="177725EF">
      <w:pPr>
        <w:pStyle w:val="53"/>
        <w:spacing w:before="156" w:after="156"/>
        <w:rPr>
          <w:rFonts w:hint="eastAsia"/>
        </w:rPr>
      </w:pPr>
      <w:bookmarkStart w:id="47" w:name="OLE_LINK8"/>
      <w:r>
        <w:rPr>
          <w:rFonts w:hint="eastAsia"/>
        </w:rPr>
        <w:t>补水排水接口要求</w:t>
      </w:r>
    </w:p>
    <w:bookmarkEnd w:id="47"/>
    <w:p w14:paraId="50F701E3">
      <w:pPr>
        <w:pStyle w:val="28"/>
      </w:pPr>
      <w:r>
        <w:rPr>
          <w:rFonts w:hint="eastAsia"/>
        </w:rPr>
        <w:t>应设置补水接口，满足抑压装置首次充水和正常运行期间的补水要求。应设置排水接口，以具备排空抑压装置进行检修的能力。</w:t>
      </w:r>
    </w:p>
    <w:p w14:paraId="2F1046EB">
      <w:pPr>
        <w:pStyle w:val="53"/>
        <w:spacing w:before="156" w:after="156"/>
        <w:rPr>
          <w:rFonts w:hint="eastAsia"/>
        </w:rPr>
      </w:pPr>
      <w:r>
        <w:rPr>
          <w:rFonts w:hint="eastAsia"/>
        </w:rPr>
        <w:t>应急补水要求</w:t>
      </w:r>
    </w:p>
    <w:p w14:paraId="1E7D7CF7">
      <w:pPr>
        <w:pStyle w:val="28"/>
      </w:pPr>
      <w:r>
        <w:rPr>
          <w:rFonts w:hint="eastAsia"/>
        </w:rPr>
        <w:t>若有条件，可设置临时外部应急供水接口，以维持水装量。</w:t>
      </w:r>
    </w:p>
    <w:p w14:paraId="4F2FD02B">
      <w:pPr>
        <w:pStyle w:val="53"/>
        <w:spacing w:before="156" w:after="156"/>
        <w:rPr>
          <w:rFonts w:hint="eastAsia"/>
        </w:rPr>
      </w:pPr>
      <w:r>
        <w:rPr>
          <w:rFonts w:hint="eastAsia"/>
        </w:rPr>
        <w:t>送风排气接口要求</w:t>
      </w:r>
    </w:p>
    <w:p w14:paraId="7851E38D">
      <w:pPr>
        <w:pStyle w:val="28"/>
      </w:pPr>
      <w:r>
        <w:rPr>
          <w:rFonts w:hint="eastAsia"/>
        </w:rPr>
        <w:t>为满足检修放射性要求，应设置送风和排气接口。通过新风吹扫，向废气处理系统排放。</w:t>
      </w:r>
    </w:p>
    <w:p w14:paraId="78938192">
      <w:pPr>
        <w:pStyle w:val="53"/>
        <w:spacing w:before="156" w:after="156"/>
        <w:rPr>
          <w:rFonts w:hint="eastAsia"/>
        </w:rPr>
      </w:pPr>
      <w:r>
        <w:rPr>
          <w:rFonts w:hint="eastAsia"/>
        </w:rPr>
        <w:t>冷却水系统接口要求</w:t>
      </w:r>
    </w:p>
    <w:p w14:paraId="4DDEA6DD">
      <w:pPr>
        <w:pStyle w:val="28"/>
      </w:pPr>
      <w:r>
        <w:rPr>
          <w:rFonts w:hint="eastAsia"/>
        </w:rPr>
        <w:t>与安全相关的冷却水系统为热交换器、冷却泵（若采用水冷）提供足够的冷却水，以保证系统功能。</w:t>
      </w:r>
    </w:p>
    <w:p w14:paraId="71B44A9E">
      <w:pPr>
        <w:pStyle w:val="49"/>
        <w:spacing w:before="156" w:after="156"/>
        <w:outlineLvl w:val="1"/>
        <w:rPr>
          <w:rFonts w:hint="eastAsia"/>
        </w:rPr>
      </w:pPr>
      <w:r>
        <w:rPr>
          <w:rFonts w:hint="eastAsia" w:ascii="Times New Roman"/>
        </w:rPr>
        <w:t>布置要求</w:t>
      </w:r>
    </w:p>
    <w:p w14:paraId="2C9F838A">
      <w:pPr>
        <w:pStyle w:val="53"/>
        <w:spacing w:before="156" w:after="156"/>
        <w:rPr>
          <w:rFonts w:hint="eastAsia"/>
        </w:rPr>
      </w:pPr>
      <w:r>
        <w:rPr>
          <w:rFonts w:hint="eastAsia"/>
        </w:rPr>
        <w:t>系统内遵循单一故障准则的部件应尽量实现实体隔离。</w:t>
      </w:r>
    </w:p>
    <w:p w14:paraId="7E860D96">
      <w:pPr>
        <w:pStyle w:val="53"/>
        <w:spacing w:before="156" w:after="156"/>
        <w:rPr>
          <w:rFonts w:hint="eastAsia"/>
        </w:rPr>
      </w:pPr>
      <w:r>
        <w:rPr>
          <w:rFonts w:hint="eastAsia"/>
        </w:rPr>
        <w:t>本系统安全相关设备的布置设计应保证内部灾害不会导致本系统安全功能的失效。</w:t>
      </w:r>
    </w:p>
    <w:p w14:paraId="77C42621">
      <w:pPr>
        <w:pStyle w:val="53"/>
        <w:spacing w:before="156" w:after="156"/>
        <w:rPr>
          <w:rFonts w:hint="eastAsia"/>
        </w:rPr>
      </w:pPr>
      <w:r>
        <w:rPr>
          <w:rFonts w:hint="eastAsia"/>
        </w:rPr>
        <w:t>系统的布置设计应满足维修、在役检查、辐射防护和实体保护考虑的有关准则和措施。</w:t>
      </w:r>
    </w:p>
    <w:p w14:paraId="3AF7BCE5">
      <w:pPr>
        <w:pStyle w:val="53"/>
        <w:spacing w:before="156" w:after="156"/>
        <w:rPr>
          <w:rFonts w:hint="eastAsia"/>
        </w:rPr>
      </w:pPr>
      <w:r>
        <w:rPr>
          <w:rFonts w:hint="eastAsia"/>
        </w:rPr>
        <w:t>布置应提供可接近的通道，以满足在役检查和维修的要求。</w:t>
      </w:r>
    </w:p>
    <w:p w14:paraId="4D166F3D">
      <w:pPr>
        <w:pStyle w:val="53"/>
        <w:spacing w:before="156" w:after="156"/>
        <w:rPr>
          <w:rFonts w:hint="eastAsia"/>
        </w:rPr>
      </w:pPr>
      <w:r>
        <w:rPr>
          <w:rFonts w:hint="eastAsia"/>
        </w:rPr>
        <w:t>本系统安全设备的布置应保证内部灾害不会导致本系统安全功能失效。</w:t>
      </w:r>
    </w:p>
    <w:p w14:paraId="70B64D06">
      <w:pPr>
        <w:pStyle w:val="53"/>
        <w:spacing w:before="156" w:after="156"/>
        <w:rPr>
          <w:rFonts w:hint="eastAsia"/>
        </w:rPr>
      </w:pPr>
      <w:r>
        <w:rPr>
          <w:rFonts w:hint="eastAsia"/>
        </w:rPr>
        <w:t>冷却回路管路应尽量短且平直，减少不必要的弯折。</w:t>
      </w:r>
    </w:p>
    <w:p w14:paraId="1CB5E587">
      <w:pPr>
        <w:pStyle w:val="53"/>
        <w:spacing w:before="156" w:after="156"/>
        <w:rPr>
          <w:rFonts w:hint="eastAsia"/>
        </w:rPr>
      </w:pPr>
      <w:r>
        <w:rPr>
          <w:rFonts w:hint="eastAsia"/>
        </w:rPr>
        <w:t>冷却回路取水口和回水口位置应保证抑压装置内水的充分搅混，防止热短路。</w:t>
      </w:r>
    </w:p>
    <w:p w14:paraId="093339BF">
      <w:pPr>
        <w:pStyle w:val="53"/>
        <w:spacing w:before="156" w:after="156"/>
        <w:rPr>
          <w:rFonts w:hint="eastAsia"/>
        </w:rPr>
      </w:pPr>
      <w:r>
        <w:rPr>
          <w:rFonts w:hint="eastAsia"/>
        </w:rPr>
        <w:t>冷却泵的布置要求如下：</w:t>
      </w:r>
    </w:p>
    <w:p w14:paraId="0D3B15BA">
      <w:pPr>
        <w:pStyle w:val="28"/>
        <w:numPr>
          <w:ilvl w:val="0"/>
          <w:numId w:val="23"/>
        </w:numPr>
      </w:pPr>
      <w:r>
        <w:rPr>
          <w:rFonts w:hint="eastAsia"/>
        </w:rPr>
        <w:t>应布置在系统较低点;</w:t>
      </w:r>
    </w:p>
    <w:p w14:paraId="2EBD4308">
      <w:pPr>
        <w:pStyle w:val="28"/>
        <w:numPr>
          <w:ilvl w:val="0"/>
          <w:numId w:val="23"/>
        </w:numPr>
      </w:pPr>
      <w:r>
        <w:rPr>
          <w:rFonts w:hint="eastAsia"/>
        </w:rPr>
        <w:t>泵投入运行时不用充水也不用排气，尽量避免气缚；</w:t>
      </w:r>
    </w:p>
    <w:p w14:paraId="2DC1682B">
      <w:pPr>
        <w:pStyle w:val="28"/>
        <w:numPr>
          <w:ilvl w:val="0"/>
          <w:numId w:val="23"/>
        </w:numPr>
      </w:pPr>
      <w:r>
        <w:rPr>
          <w:rFonts w:hint="eastAsia"/>
        </w:rPr>
        <w:t>应有足够的净正吸入压头，以防止汽蚀，净正吸入压头的计算需考虑以下因素：局部阻力、沿程阻力、最大流量、水温、抑压装置大气背压、抑压装置最低液位、泵吸入口与取水点相对高差等。</w:t>
      </w:r>
    </w:p>
    <w:p w14:paraId="6FC6006D">
      <w:pPr>
        <w:pStyle w:val="28"/>
        <w:numPr>
          <w:ilvl w:val="0"/>
          <w:numId w:val="23"/>
        </w:numPr>
      </w:pPr>
      <w:r>
        <w:rPr>
          <w:rFonts w:hint="eastAsia"/>
        </w:rPr>
        <w:t>应具有足够的检修操作空间，正常功率运行期间具备检修条件。</w:t>
      </w:r>
    </w:p>
    <w:p w14:paraId="1A0B4864">
      <w:pPr>
        <w:pStyle w:val="49"/>
        <w:spacing w:before="156" w:after="156"/>
        <w:outlineLvl w:val="1"/>
        <w:rPr>
          <w:rFonts w:hint="eastAsia"/>
        </w:rPr>
      </w:pPr>
      <w:r>
        <w:rPr>
          <w:rFonts w:hint="eastAsia" w:ascii="Times New Roman"/>
        </w:rPr>
        <w:t>试验和维修要求</w:t>
      </w:r>
    </w:p>
    <w:p w14:paraId="3DE4E24B">
      <w:pPr>
        <w:pStyle w:val="53"/>
        <w:spacing w:before="156" w:after="156"/>
        <w:rPr>
          <w:rFonts w:hint="eastAsia"/>
        </w:rPr>
      </w:pPr>
      <w:r>
        <w:rPr>
          <w:rFonts w:hint="eastAsia"/>
        </w:rPr>
        <w:t>水压试验</w:t>
      </w:r>
    </w:p>
    <w:p w14:paraId="10CA3968">
      <w:pPr>
        <w:pStyle w:val="28"/>
      </w:pPr>
      <w:r>
        <w:rPr>
          <w:rFonts w:hint="eastAsia"/>
        </w:rPr>
        <w:t>系统设计应能满足初次水压试验和允许定期的水压试验所需压力、接口等措施。</w:t>
      </w:r>
    </w:p>
    <w:p w14:paraId="3908FC4F">
      <w:pPr>
        <w:pStyle w:val="53"/>
        <w:spacing w:before="156" w:after="156"/>
        <w:rPr>
          <w:rFonts w:hint="eastAsia"/>
        </w:rPr>
      </w:pPr>
      <w:r>
        <w:rPr>
          <w:rFonts w:hint="eastAsia"/>
        </w:rPr>
        <w:t>运行前试验</w:t>
      </w:r>
    </w:p>
    <w:p w14:paraId="28C43F03">
      <w:pPr>
        <w:pStyle w:val="28"/>
      </w:pPr>
      <w:r>
        <w:rPr>
          <w:rFonts w:hint="eastAsia"/>
        </w:rPr>
        <w:t>抑压系统运行前试验一般包括抑压装置（包括抑压管和鼓泡装置）的功能验证、阀门试验、模拟测量与控制通道试验、逻辑控制通道试验、冷却功能试验等。</w:t>
      </w:r>
    </w:p>
    <w:p w14:paraId="0BB2278A">
      <w:pPr>
        <w:pStyle w:val="58"/>
        <w:spacing w:before="156" w:after="156"/>
        <w:rPr>
          <w:rFonts w:hint="eastAsia"/>
        </w:rPr>
      </w:pPr>
      <w:r>
        <w:rPr>
          <w:rFonts w:hint="eastAsia"/>
        </w:rPr>
        <w:t>抑压装置功能验证试验</w:t>
      </w:r>
    </w:p>
    <w:p w14:paraId="4CA39D9E">
      <w:pPr>
        <w:pStyle w:val="28"/>
      </w:pPr>
      <w:r>
        <w:rPr>
          <w:rFonts w:hint="eastAsia"/>
        </w:rPr>
        <w:t>由于抑压功能验证所需条件无法在原型堆现场实现，一般通过建设模化试验台架，验证抑压装置功能。</w:t>
      </w:r>
    </w:p>
    <w:p w14:paraId="3BE290FD">
      <w:pPr>
        <w:pStyle w:val="58"/>
        <w:spacing w:before="156" w:after="156"/>
        <w:rPr>
          <w:rFonts w:hint="eastAsia"/>
        </w:rPr>
      </w:pPr>
      <w:r>
        <w:rPr>
          <w:rFonts w:hint="eastAsia"/>
        </w:rPr>
        <w:t>阀门试验</w:t>
      </w:r>
    </w:p>
    <w:p w14:paraId="7DE10489">
      <w:pPr>
        <w:pStyle w:val="28"/>
      </w:pPr>
      <w:r>
        <w:rPr>
          <w:rFonts w:hint="eastAsia"/>
        </w:rPr>
        <w:t>对本系统的电动阀、带限位开关的手动阀进行检查和试验，主要包括机械部分、电气和绝缘、执行机构功能检查，并根据阀门运行和维修手册要求进行试验。</w:t>
      </w:r>
    </w:p>
    <w:p w14:paraId="3C77F8AD">
      <w:pPr>
        <w:pStyle w:val="58"/>
        <w:spacing w:before="156" w:after="156"/>
        <w:rPr>
          <w:rFonts w:hint="eastAsia"/>
        </w:rPr>
      </w:pPr>
      <w:r>
        <w:rPr>
          <w:rFonts w:hint="eastAsia"/>
        </w:rPr>
        <w:t>模拟测量与控制通道试验</w:t>
      </w:r>
    </w:p>
    <w:p w14:paraId="618BD6E4">
      <w:pPr>
        <w:pStyle w:val="28"/>
      </w:pPr>
      <w:r>
        <w:rPr>
          <w:rFonts w:hint="eastAsia"/>
        </w:rPr>
        <w:t>对本系统的模拟量仪表的通道、精度、必要的设定值参数以及运算功能进行检查和试验。</w:t>
      </w:r>
    </w:p>
    <w:p w14:paraId="4CBFE50F">
      <w:pPr>
        <w:pStyle w:val="58"/>
        <w:spacing w:before="156" w:after="156"/>
        <w:rPr>
          <w:rFonts w:hint="eastAsia"/>
        </w:rPr>
      </w:pPr>
      <w:r>
        <w:rPr>
          <w:rFonts w:hint="eastAsia"/>
        </w:rPr>
        <w:t>逻辑控制通道试验</w:t>
      </w:r>
    </w:p>
    <w:p w14:paraId="78C3506E">
      <w:pPr>
        <w:pStyle w:val="28"/>
      </w:pPr>
      <w:r>
        <w:rPr>
          <w:rFonts w:hint="eastAsia"/>
        </w:rPr>
        <w:t>对本系统的设定值和报警功能进行试验，验证系统逻辑和执行机构动作。</w:t>
      </w:r>
    </w:p>
    <w:p w14:paraId="77F17FF2">
      <w:pPr>
        <w:pStyle w:val="58"/>
        <w:spacing w:before="156" w:after="156"/>
        <w:rPr>
          <w:rFonts w:hint="eastAsia"/>
        </w:rPr>
      </w:pPr>
      <w:r>
        <w:rPr>
          <w:rFonts w:hint="eastAsia"/>
        </w:rPr>
        <w:t>冷却功能试验</w:t>
      </w:r>
    </w:p>
    <w:p w14:paraId="06C66E03">
      <w:pPr>
        <w:pStyle w:val="28"/>
      </w:pPr>
      <w:r>
        <w:rPr>
          <w:rFonts w:hint="eastAsia"/>
        </w:rPr>
        <w:t>通过试验验证冷却列流量、热交换器换热系数满足设计要求。</w:t>
      </w:r>
    </w:p>
    <w:p w14:paraId="05772FC0">
      <w:pPr>
        <w:pStyle w:val="53"/>
        <w:spacing w:before="156" w:after="156"/>
        <w:rPr>
          <w:rFonts w:hint="eastAsia"/>
        </w:rPr>
      </w:pPr>
      <w:r>
        <w:rPr>
          <w:rFonts w:hint="eastAsia"/>
        </w:rPr>
        <w:t>定期试验</w:t>
      </w:r>
    </w:p>
    <w:p w14:paraId="486F973D">
      <w:pPr>
        <w:pStyle w:val="28"/>
      </w:pPr>
      <w:r>
        <w:rPr>
          <w:rFonts w:hint="eastAsia"/>
        </w:rPr>
        <w:t>系统设计应规定定期试验要求，以验证系统部件执行安全功能的能力。定期试验一般包括阀门、仪表、泵等能动设备，需满足设备和系统性能要求。</w:t>
      </w:r>
    </w:p>
    <w:p w14:paraId="7C09EBBA">
      <w:pPr>
        <w:pStyle w:val="28"/>
      </w:pPr>
      <w:r>
        <w:rPr>
          <w:rFonts w:hint="eastAsia"/>
        </w:rPr>
        <w:t>正常运行阶段持续投运部分可以豁免定期试验。</w:t>
      </w:r>
    </w:p>
    <w:p w14:paraId="23A54658">
      <w:pPr>
        <w:pStyle w:val="28"/>
      </w:pPr>
      <w:r>
        <w:rPr>
          <w:rFonts w:hint="eastAsia"/>
        </w:rPr>
        <w:t>抑压管、鼓泡装置、抑压装置等非能动部件一般通过前期建设试验装置验证，不进行定期试验。</w:t>
      </w:r>
    </w:p>
    <w:p w14:paraId="1688568B">
      <w:pPr>
        <w:pStyle w:val="53"/>
        <w:spacing w:before="156" w:after="156"/>
        <w:rPr>
          <w:rFonts w:hint="eastAsia"/>
        </w:rPr>
      </w:pPr>
      <w:r>
        <w:rPr>
          <w:rFonts w:hint="eastAsia"/>
        </w:rPr>
        <w:t>检查要求</w:t>
      </w:r>
    </w:p>
    <w:p w14:paraId="076CCB4C">
      <w:pPr>
        <w:pStyle w:val="28"/>
      </w:pPr>
      <w:r>
        <w:rPr>
          <w:rFonts w:hint="eastAsia"/>
        </w:rPr>
        <w:t>系统相关的设备、管道，应根据在役检查大纲的要求，定期进行检查，确保系统功能的可用性。</w:t>
      </w:r>
    </w:p>
    <w:bookmarkEnd w:id="41"/>
    <w:p w14:paraId="73BFC9F2">
      <w:pPr>
        <w:pStyle w:val="53"/>
        <w:spacing w:before="156" w:after="156"/>
        <w:rPr>
          <w:rFonts w:hint="eastAsia"/>
        </w:rPr>
      </w:pPr>
      <w:r>
        <w:rPr>
          <w:rFonts w:hint="eastAsia"/>
        </w:rPr>
        <w:t>维修要求</w:t>
      </w:r>
    </w:p>
    <w:p w14:paraId="1FB3309E">
      <w:pPr>
        <w:pStyle w:val="28"/>
      </w:pPr>
      <w:r>
        <w:rPr>
          <w:rFonts w:hint="eastAsia"/>
        </w:rPr>
        <w:t>为保证本系统完成所规定的功能，设计应包括必要的检查、维修措施和相关技术要求。布置应为维修工作提供必要的人员、工具通道以及作业空间。</w:t>
      </w:r>
    </w:p>
    <w:p w14:paraId="385CDFDC">
      <w:pPr>
        <w:pStyle w:val="28"/>
      </w:pPr>
      <w:r>
        <w:rPr>
          <w:rFonts w:hint="eastAsia"/>
        </w:rPr>
        <w:t>设备选型应使设备所需维修频率尽量低。</w:t>
      </w:r>
    </w:p>
    <w:p w14:paraId="5E04D92E">
      <w:pPr>
        <w:pStyle w:val="28"/>
      </w:pPr>
      <w:r>
        <w:rPr>
          <w:rFonts w:hint="eastAsia"/>
        </w:rPr>
        <w:t>设备布置应考虑工作人员所受剂量尽量低。</w:t>
      </w:r>
    </w:p>
    <w:p w14:paraId="7B0CA6E1">
      <w:pPr>
        <w:pStyle w:val="28"/>
        <w:ind w:firstLine="0" w:firstLineChars="0"/>
      </w:pPr>
    </w:p>
    <w:sectPr>
      <w:pgSz w:w="11906" w:h="16838"/>
      <w:pgMar w:top="567" w:right="1134" w:bottom="1134" w:left="1418"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732D1">
    <w:pPr>
      <w:pStyle w:val="50"/>
    </w:pPr>
    <w:r>
      <w:fldChar w:fldCharType="begin"/>
    </w:r>
    <w:r>
      <w:instrText xml:space="preserve"> PAGE  \* MERGEFORMAT </w:instrText>
    </w:r>
    <w:r>
      <w:fldChar w:fldCharType="separate"/>
    </w:r>
    <w:r>
      <w:t>II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6D523">
    <w:pPr>
      <w:pStyle w:val="51"/>
      <w:wordWrap w:val="0"/>
    </w:pPr>
    <w:r>
      <w:rPr>
        <w:rFonts w:hint="eastAsia"/>
      </w:rPr>
      <w:t>T/CNEA</w:t>
    </w:r>
    <w:r>
      <w:t xml:space="preserve">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6AB160"/>
    <w:multiLevelType w:val="singleLevel"/>
    <w:tmpl w:val="886AB160"/>
    <w:lvl w:ilvl="0" w:tentative="0">
      <w:start w:val="1"/>
      <w:numFmt w:val="lowerLetter"/>
      <w:suff w:val="space"/>
      <w:lvlText w:val="%1)"/>
      <w:lvlJc w:val="left"/>
    </w:lvl>
  </w:abstractNum>
  <w:abstractNum w:abstractNumId="1">
    <w:nsid w:val="8998FC62"/>
    <w:multiLevelType w:val="singleLevel"/>
    <w:tmpl w:val="8998FC62"/>
    <w:lvl w:ilvl="0" w:tentative="0">
      <w:start w:val="1"/>
      <w:numFmt w:val="lowerLetter"/>
      <w:suff w:val="space"/>
      <w:lvlText w:val="%1)"/>
      <w:lvlJc w:val="left"/>
    </w:lvl>
  </w:abstractNum>
  <w:abstractNum w:abstractNumId="2">
    <w:nsid w:val="E369D444"/>
    <w:multiLevelType w:val="singleLevel"/>
    <w:tmpl w:val="E369D444"/>
    <w:lvl w:ilvl="0" w:tentative="0">
      <w:start w:val="1"/>
      <w:numFmt w:val="lowerLetter"/>
      <w:suff w:val="space"/>
      <w:lvlText w:val="%1)"/>
      <w:lvlJc w:val="left"/>
    </w:lvl>
  </w:abstractNum>
  <w:abstractNum w:abstractNumId="3">
    <w:nsid w:val="EE4030B8"/>
    <w:multiLevelType w:val="multilevel"/>
    <w:tmpl w:val="EE4030B8"/>
    <w:lvl w:ilvl="0" w:tentative="0">
      <w:start w:val="1"/>
      <w:numFmt w:val="lowerLetter"/>
      <w:lvlText w:val="%1)"/>
      <w:lvlJc w:val="left"/>
      <w:pPr>
        <w:ind w:left="90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79102AD"/>
    <w:multiLevelType w:val="multilevel"/>
    <w:tmpl w:val="079102AD"/>
    <w:lvl w:ilvl="0" w:tentative="0">
      <w:start w:val="1"/>
      <w:numFmt w:val="decimal"/>
      <w:pStyle w:val="6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93C6778"/>
    <w:multiLevelType w:val="multilevel"/>
    <w:tmpl w:val="093C6778"/>
    <w:lvl w:ilvl="0" w:tentative="0">
      <w:start w:val="1"/>
      <w:numFmt w:val="decimal"/>
      <w:pStyle w:val="12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0AE367E9"/>
    <w:multiLevelType w:val="multilevel"/>
    <w:tmpl w:val="0AE367E9"/>
    <w:lvl w:ilvl="0" w:tentative="0">
      <w:start w:val="1"/>
      <w:numFmt w:val="none"/>
      <w:pStyle w:val="59"/>
      <w:suff w:val="nothing"/>
      <w:lvlText w:val="%1示例："/>
      <w:lvlJc w:val="left"/>
      <w:pPr>
        <w:ind w:left="1338" w:firstLine="363"/>
      </w:pPr>
      <w:rPr>
        <w:rFonts w:hint="eastAsia" w:ascii="黑体" w:eastAsia="黑体"/>
        <w:b w:val="0"/>
        <w:i w:val="0"/>
        <w:sz w:val="18"/>
        <w:szCs w:val="18"/>
      </w:rPr>
    </w:lvl>
    <w:lvl w:ilvl="1" w:tentative="0">
      <w:start w:val="1"/>
      <w:numFmt w:val="lowerLetter"/>
      <w:lvlText w:val="%2)"/>
      <w:lvlJc w:val="left"/>
      <w:pPr>
        <w:tabs>
          <w:tab w:val="left" w:pos="1701"/>
        </w:tabs>
        <w:ind w:left="1338" w:firstLine="363"/>
      </w:pPr>
      <w:rPr>
        <w:rFonts w:hint="eastAsia"/>
      </w:rPr>
    </w:lvl>
    <w:lvl w:ilvl="2" w:tentative="0">
      <w:start w:val="1"/>
      <w:numFmt w:val="lowerRoman"/>
      <w:lvlText w:val="%3."/>
      <w:lvlJc w:val="right"/>
      <w:pPr>
        <w:tabs>
          <w:tab w:val="left" w:pos="1701"/>
        </w:tabs>
        <w:ind w:left="1338" w:firstLine="363"/>
      </w:pPr>
      <w:rPr>
        <w:rFonts w:hint="eastAsia"/>
      </w:rPr>
    </w:lvl>
    <w:lvl w:ilvl="3" w:tentative="0">
      <w:start w:val="1"/>
      <w:numFmt w:val="decimal"/>
      <w:lvlText w:val="%4."/>
      <w:lvlJc w:val="left"/>
      <w:pPr>
        <w:tabs>
          <w:tab w:val="left" w:pos="1701"/>
        </w:tabs>
        <w:ind w:left="1338" w:firstLine="363"/>
      </w:pPr>
      <w:rPr>
        <w:rFonts w:hint="eastAsia"/>
      </w:rPr>
    </w:lvl>
    <w:lvl w:ilvl="4" w:tentative="0">
      <w:start w:val="1"/>
      <w:numFmt w:val="lowerLetter"/>
      <w:lvlText w:val="%5)"/>
      <w:lvlJc w:val="left"/>
      <w:pPr>
        <w:tabs>
          <w:tab w:val="left" w:pos="1701"/>
        </w:tabs>
        <w:ind w:left="1338" w:firstLine="363"/>
      </w:pPr>
      <w:rPr>
        <w:rFonts w:hint="eastAsia"/>
      </w:rPr>
    </w:lvl>
    <w:lvl w:ilvl="5" w:tentative="0">
      <w:start w:val="1"/>
      <w:numFmt w:val="lowerRoman"/>
      <w:lvlText w:val="%6."/>
      <w:lvlJc w:val="right"/>
      <w:pPr>
        <w:tabs>
          <w:tab w:val="left" w:pos="1701"/>
        </w:tabs>
        <w:ind w:left="1338" w:firstLine="363"/>
      </w:pPr>
      <w:rPr>
        <w:rFonts w:hint="eastAsia"/>
      </w:rPr>
    </w:lvl>
    <w:lvl w:ilvl="6" w:tentative="0">
      <w:start w:val="1"/>
      <w:numFmt w:val="decimal"/>
      <w:lvlText w:val="%7."/>
      <w:lvlJc w:val="left"/>
      <w:pPr>
        <w:tabs>
          <w:tab w:val="left" w:pos="1701"/>
        </w:tabs>
        <w:ind w:left="1338" w:firstLine="363"/>
      </w:pPr>
      <w:rPr>
        <w:rFonts w:hint="eastAsia"/>
      </w:rPr>
    </w:lvl>
    <w:lvl w:ilvl="7" w:tentative="0">
      <w:start w:val="1"/>
      <w:numFmt w:val="lowerLetter"/>
      <w:lvlText w:val="%8)"/>
      <w:lvlJc w:val="left"/>
      <w:pPr>
        <w:tabs>
          <w:tab w:val="left" w:pos="1701"/>
        </w:tabs>
        <w:ind w:left="1338" w:firstLine="363"/>
      </w:pPr>
      <w:rPr>
        <w:rFonts w:hint="eastAsia"/>
      </w:rPr>
    </w:lvl>
    <w:lvl w:ilvl="8" w:tentative="0">
      <w:start w:val="1"/>
      <w:numFmt w:val="lowerRoman"/>
      <w:lvlText w:val="%9."/>
      <w:lvlJc w:val="right"/>
      <w:pPr>
        <w:tabs>
          <w:tab w:val="left" w:pos="1701"/>
        </w:tabs>
        <w:ind w:left="1338" w:firstLine="363"/>
      </w:pPr>
      <w:rPr>
        <w:rFonts w:hint="eastAsia"/>
      </w:rPr>
    </w:lvl>
  </w:abstractNum>
  <w:abstractNum w:abstractNumId="7">
    <w:nsid w:val="0DDE2B46"/>
    <w:multiLevelType w:val="multilevel"/>
    <w:tmpl w:val="0DDE2B46"/>
    <w:lvl w:ilvl="0" w:tentative="0">
      <w:start w:val="1"/>
      <w:numFmt w:val="lowerLetter"/>
      <w:pStyle w:val="12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8">
    <w:nsid w:val="1DBF583A"/>
    <w:multiLevelType w:val="multilevel"/>
    <w:tmpl w:val="1DBF583A"/>
    <w:lvl w:ilvl="0" w:tentative="0">
      <w:start w:val="1"/>
      <w:numFmt w:val="decimal"/>
      <w:pStyle w:val="72"/>
      <w:suff w:val="nothing"/>
      <w:lvlText w:val="注%1："/>
      <w:lvlJc w:val="left"/>
      <w:pPr>
        <w:ind w:left="811" w:hanging="448"/>
      </w:pPr>
      <w:rPr>
        <w:rFonts w:hint="eastAsia" w:ascii="黑体" w:hAnsi="黑体" w:eastAsia="黑体"/>
        <w:b w:val="0"/>
        <w:i w:val="0"/>
        <w:sz w:val="18"/>
        <w:szCs w:val="18"/>
        <w:vertAlign w:val="baseline"/>
      </w:rPr>
    </w:lvl>
    <w:lvl w:ilvl="1" w:tentative="0">
      <w:start w:val="1"/>
      <w:numFmt w:val="lowerLetter"/>
      <w:lvlText w:val="%2)"/>
      <w:lvlJc w:val="left"/>
      <w:pPr>
        <w:tabs>
          <w:tab w:val="left" w:pos="181"/>
        </w:tabs>
        <w:ind w:left="1174" w:hanging="630"/>
      </w:pPr>
      <w:rPr>
        <w:rFonts w:hint="eastAsia"/>
        <w:vertAlign w:val="baseline"/>
      </w:rPr>
    </w:lvl>
    <w:lvl w:ilvl="2" w:tentative="0">
      <w:start w:val="1"/>
      <w:numFmt w:val="lowerRoman"/>
      <w:lvlText w:val="%3."/>
      <w:lvlJc w:val="right"/>
      <w:pPr>
        <w:tabs>
          <w:tab w:val="left" w:pos="181"/>
        </w:tabs>
        <w:ind w:left="1174" w:hanging="630"/>
      </w:pPr>
      <w:rPr>
        <w:rFonts w:hint="eastAsia"/>
        <w:vertAlign w:val="baseline"/>
      </w:rPr>
    </w:lvl>
    <w:lvl w:ilvl="3" w:tentative="0">
      <w:start w:val="1"/>
      <w:numFmt w:val="decimal"/>
      <w:lvlText w:val="%4."/>
      <w:lvlJc w:val="left"/>
      <w:pPr>
        <w:tabs>
          <w:tab w:val="left" w:pos="181"/>
        </w:tabs>
        <w:ind w:left="1174" w:hanging="630"/>
      </w:pPr>
      <w:rPr>
        <w:rFonts w:hint="eastAsia"/>
        <w:vertAlign w:val="baseline"/>
      </w:rPr>
    </w:lvl>
    <w:lvl w:ilvl="4" w:tentative="0">
      <w:start w:val="1"/>
      <w:numFmt w:val="lowerLetter"/>
      <w:lvlText w:val="%5)"/>
      <w:lvlJc w:val="left"/>
      <w:pPr>
        <w:tabs>
          <w:tab w:val="left" w:pos="181"/>
        </w:tabs>
        <w:ind w:left="1174" w:hanging="630"/>
      </w:pPr>
      <w:rPr>
        <w:rFonts w:hint="eastAsia"/>
        <w:vertAlign w:val="baseline"/>
      </w:rPr>
    </w:lvl>
    <w:lvl w:ilvl="5" w:tentative="0">
      <w:start w:val="1"/>
      <w:numFmt w:val="lowerRoman"/>
      <w:lvlText w:val="%6."/>
      <w:lvlJc w:val="right"/>
      <w:pPr>
        <w:tabs>
          <w:tab w:val="left" w:pos="181"/>
        </w:tabs>
        <w:ind w:left="1174" w:hanging="630"/>
      </w:pPr>
      <w:rPr>
        <w:rFonts w:hint="eastAsia"/>
        <w:vertAlign w:val="baseline"/>
      </w:rPr>
    </w:lvl>
    <w:lvl w:ilvl="6" w:tentative="0">
      <w:start w:val="1"/>
      <w:numFmt w:val="decimal"/>
      <w:lvlText w:val="%7."/>
      <w:lvlJc w:val="left"/>
      <w:pPr>
        <w:tabs>
          <w:tab w:val="left" w:pos="181"/>
        </w:tabs>
        <w:ind w:left="1174" w:hanging="630"/>
      </w:pPr>
      <w:rPr>
        <w:rFonts w:hint="eastAsia"/>
        <w:vertAlign w:val="baseline"/>
      </w:rPr>
    </w:lvl>
    <w:lvl w:ilvl="7" w:tentative="0">
      <w:start w:val="1"/>
      <w:numFmt w:val="lowerLetter"/>
      <w:lvlText w:val="%8)"/>
      <w:lvlJc w:val="left"/>
      <w:pPr>
        <w:tabs>
          <w:tab w:val="left" w:pos="181"/>
        </w:tabs>
        <w:ind w:left="1174" w:hanging="630"/>
      </w:pPr>
      <w:rPr>
        <w:rFonts w:hint="eastAsia"/>
        <w:vertAlign w:val="baseline"/>
      </w:rPr>
    </w:lvl>
    <w:lvl w:ilvl="8" w:tentative="0">
      <w:start w:val="1"/>
      <w:numFmt w:val="lowerRoman"/>
      <w:lvlText w:val="%9."/>
      <w:lvlJc w:val="right"/>
      <w:pPr>
        <w:tabs>
          <w:tab w:val="left" w:pos="181"/>
        </w:tabs>
        <w:ind w:left="1174" w:hanging="630"/>
      </w:pPr>
      <w:rPr>
        <w:rFonts w:hint="eastAsia"/>
        <w:vertAlign w:val="baseline"/>
      </w:rPr>
    </w:lvl>
  </w:abstractNum>
  <w:abstractNum w:abstractNumId="9">
    <w:nsid w:val="2A8F7113"/>
    <w:multiLevelType w:val="multilevel"/>
    <w:tmpl w:val="2A8F7113"/>
    <w:lvl w:ilvl="0" w:tentative="0">
      <w:start w:val="1"/>
      <w:numFmt w:val="upperLetter"/>
      <w:pStyle w:val="105"/>
      <w:suff w:val="space"/>
      <w:lvlText w:val="%1"/>
      <w:lvlJc w:val="left"/>
      <w:pPr>
        <w:ind w:left="623" w:hanging="425"/>
      </w:pPr>
      <w:rPr>
        <w:rFonts w:hint="eastAsia"/>
      </w:rPr>
    </w:lvl>
    <w:lvl w:ilvl="1" w:tentative="0">
      <w:start w:val="1"/>
      <w:numFmt w:val="decimal"/>
      <w:pStyle w:val="10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55"/>
      <w:suff w:val="nothing"/>
      <w:lvlText w:val="%1——"/>
      <w:lvlJc w:val="left"/>
      <w:pPr>
        <w:ind w:left="833" w:hanging="408"/>
      </w:pPr>
      <w:rPr>
        <w:rFonts w:hint="eastAsia"/>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pStyle w:val="6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3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tentative="0">
      <w:start w:val="1"/>
      <w:numFmt w:val="lowerLetter"/>
      <w:pStyle w:val="6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1"/>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3">
    <w:nsid w:val="4B733A5F"/>
    <w:multiLevelType w:val="multilevel"/>
    <w:tmpl w:val="4B733A5F"/>
    <w:lvl w:ilvl="0" w:tentative="0">
      <w:start w:val="1"/>
      <w:numFmt w:val="decimal"/>
      <w:pStyle w:val="69"/>
      <w:suff w:val="nothing"/>
      <w:lvlText w:val="示例%1："/>
      <w:lvlJc w:val="left"/>
      <w:pPr>
        <w:ind w:left="0" w:firstLine="363"/>
      </w:pPr>
      <w:rPr>
        <w:rFonts w:hint="eastAsia" w:ascii="黑体" w:hAnsi="黑体" w:eastAsia="黑体"/>
        <w:b w:val="0"/>
        <w:i w:val="0"/>
        <w:sz w:val="18"/>
        <w:szCs w:val="18"/>
        <w:vertAlign w:val="baseline"/>
      </w:rPr>
    </w:lvl>
    <w:lvl w:ilvl="1" w:tentative="0">
      <w:start w:val="1"/>
      <w:numFmt w:val="lowerLetter"/>
      <w:lvlText w:val="%2)"/>
      <w:lvlJc w:val="left"/>
      <w:pPr>
        <w:ind w:left="0" w:firstLine="0"/>
      </w:pPr>
      <w:rPr>
        <w:rFonts w:hint="eastAsia"/>
        <w:vertAlign w:val="baseline"/>
      </w:rPr>
    </w:lvl>
    <w:lvl w:ilvl="2" w:tentative="0">
      <w:start w:val="1"/>
      <w:numFmt w:val="lowerRoman"/>
      <w:lvlText w:val="%3."/>
      <w:lvlJc w:val="right"/>
      <w:pPr>
        <w:ind w:left="839" w:hanging="442"/>
      </w:pPr>
      <w:rPr>
        <w:rFonts w:hint="eastAsia"/>
        <w:vertAlign w:val="baseline"/>
      </w:rPr>
    </w:lvl>
    <w:lvl w:ilvl="3" w:tentative="0">
      <w:start w:val="1"/>
      <w:numFmt w:val="decimal"/>
      <w:lvlText w:val="%4."/>
      <w:lvlJc w:val="left"/>
      <w:pPr>
        <w:ind w:left="839" w:hanging="442"/>
      </w:pPr>
      <w:rPr>
        <w:rFonts w:hint="eastAsia"/>
        <w:vertAlign w:val="baseline"/>
      </w:rPr>
    </w:lvl>
    <w:lvl w:ilvl="4" w:tentative="0">
      <w:start w:val="1"/>
      <w:numFmt w:val="lowerLetter"/>
      <w:lvlText w:val="%5)"/>
      <w:lvlJc w:val="left"/>
      <w:pPr>
        <w:ind w:left="839" w:hanging="442"/>
      </w:pPr>
      <w:rPr>
        <w:rFonts w:hint="eastAsia"/>
        <w:vertAlign w:val="baseline"/>
      </w:rPr>
    </w:lvl>
    <w:lvl w:ilvl="5" w:tentative="0">
      <w:start w:val="1"/>
      <w:numFmt w:val="lowerRoman"/>
      <w:lvlText w:val="%6."/>
      <w:lvlJc w:val="right"/>
      <w:pPr>
        <w:ind w:left="839" w:hanging="442"/>
      </w:pPr>
      <w:rPr>
        <w:rFonts w:hint="eastAsia"/>
        <w:vertAlign w:val="baseline"/>
      </w:rPr>
    </w:lvl>
    <w:lvl w:ilvl="6" w:tentative="0">
      <w:start w:val="1"/>
      <w:numFmt w:val="decimal"/>
      <w:lvlText w:val="%7."/>
      <w:lvlJc w:val="left"/>
      <w:pPr>
        <w:ind w:left="839" w:hanging="442"/>
      </w:pPr>
      <w:rPr>
        <w:rFonts w:hint="eastAsia"/>
        <w:vertAlign w:val="baseline"/>
      </w:rPr>
    </w:lvl>
    <w:lvl w:ilvl="7" w:tentative="0">
      <w:start w:val="1"/>
      <w:numFmt w:val="lowerLetter"/>
      <w:lvlText w:val="%8)"/>
      <w:lvlJc w:val="left"/>
      <w:pPr>
        <w:ind w:left="839" w:hanging="442"/>
      </w:pPr>
      <w:rPr>
        <w:rFonts w:hint="eastAsia"/>
        <w:vertAlign w:val="baseline"/>
      </w:rPr>
    </w:lvl>
    <w:lvl w:ilvl="8" w:tentative="0">
      <w:start w:val="1"/>
      <w:numFmt w:val="lowerRoman"/>
      <w:lvlText w:val="%9."/>
      <w:lvlJc w:val="right"/>
      <w:pPr>
        <w:ind w:left="839" w:hanging="442"/>
      </w:pPr>
      <w:rPr>
        <w:rFonts w:hint="eastAsia"/>
        <w:vertAlign w:val="baseline"/>
      </w:rPr>
    </w:lvl>
  </w:abstractNum>
  <w:abstractNum w:abstractNumId="14">
    <w:nsid w:val="557C2AF5"/>
    <w:multiLevelType w:val="multilevel"/>
    <w:tmpl w:val="557C2AF5"/>
    <w:lvl w:ilvl="0" w:tentative="0">
      <w:start w:val="1"/>
      <w:numFmt w:val="decimal"/>
      <w:pStyle w:val="13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06DB732"/>
    <w:multiLevelType w:val="multilevel"/>
    <w:tmpl w:val="606DB732"/>
    <w:lvl w:ilvl="0" w:tentative="0">
      <w:start w:val="1"/>
      <w:numFmt w:val="lowerLetter"/>
      <w:lvlText w:val="%1)"/>
      <w:lvlJc w:val="left"/>
      <w:pPr>
        <w:ind w:left="90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60B55DC2"/>
    <w:multiLevelType w:val="multilevel"/>
    <w:tmpl w:val="60B55DC2"/>
    <w:lvl w:ilvl="0" w:tentative="0">
      <w:start w:val="1"/>
      <w:numFmt w:val="upperLetter"/>
      <w:pStyle w:val="93"/>
      <w:lvlText w:val="%1"/>
      <w:lvlJc w:val="left"/>
      <w:pPr>
        <w:tabs>
          <w:tab w:val="left" w:pos="0"/>
        </w:tabs>
        <w:ind w:left="0" w:hanging="425"/>
      </w:pPr>
      <w:rPr>
        <w:rFonts w:hint="eastAsia"/>
      </w:rPr>
    </w:lvl>
    <w:lvl w:ilvl="1" w:tentative="0">
      <w:start w:val="1"/>
      <w:numFmt w:val="decimal"/>
      <w:pStyle w:val="9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7">
    <w:nsid w:val="646260FA"/>
    <w:multiLevelType w:val="multilevel"/>
    <w:tmpl w:val="646260FA"/>
    <w:lvl w:ilvl="0" w:tentative="0">
      <w:start w:val="1"/>
      <w:numFmt w:val="decimal"/>
      <w:pStyle w:val="1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57D3FBC"/>
    <w:multiLevelType w:val="multilevel"/>
    <w:tmpl w:val="657D3FBC"/>
    <w:lvl w:ilvl="0" w:tentative="0">
      <w:start w:val="1"/>
      <w:numFmt w:val="upperLetter"/>
      <w:pStyle w:val="9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0"/>
      <w:suff w:val="nothing"/>
      <w:lvlText w:val="%1.%2.%3　"/>
      <w:lvlJc w:val="left"/>
      <w:pPr>
        <w:ind w:left="0" w:firstLine="0"/>
      </w:pPr>
      <w:rPr>
        <w:rFonts w:hint="eastAsia" w:ascii="黑体" w:hAnsi="Times New Roman" w:eastAsia="黑体"/>
        <w:b w:val="0"/>
        <w:i w:val="0"/>
        <w:sz w:val="21"/>
      </w:rPr>
    </w:lvl>
    <w:lvl w:ilvl="3" w:tentative="0">
      <w:start w:val="1"/>
      <w:numFmt w:val="decimal"/>
      <w:pStyle w:val="95"/>
      <w:suff w:val="nothing"/>
      <w:lvlText w:val="%1.%2.%3.%4　"/>
      <w:lvlJc w:val="left"/>
      <w:pPr>
        <w:ind w:left="0" w:firstLine="0"/>
      </w:pPr>
      <w:rPr>
        <w:rFonts w:hint="eastAsia" w:ascii="黑体" w:hAnsi="Times New Roman" w:eastAsia="黑体"/>
        <w:b w:val="0"/>
        <w:i w:val="0"/>
        <w:sz w:val="21"/>
      </w:rPr>
    </w:lvl>
    <w:lvl w:ilvl="4" w:tentative="0">
      <w:start w:val="1"/>
      <w:numFmt w:val="decimal"/>
      <w:pStyle w:val="100"/>
      <w:suff w:val="nothing"/>
      <w:lvlText w:val="%1.%2.%3.%4.%5　"/>
      <w:lvlJc w:val="left"/>
      <w:pPr>
        <w:ind w:left="0" w:firstLine="0"/>
      </w:pPr>
      <w:rPr>
        <w:rFonts w:hint="eastAsia" w:ascii="黑体" w:hAnsi="Times New Roman" w:eastAsia="黑体"/>
        <w:b w:val="0"/>
        <w:i w:val="0"/>
        <w:sz w:val="21"/>
      </w:rPr>
    </w:lvl>
    <w:lvl w:ilvl="5" w:tentative="0">
      <w:start w:val="1"/>
      <w:numFmt w:val="decimal"/>
      <w:pStyle w:val="103"/>
      <w:suff w:val="nothing"/>
      <w:lvlText w:val="%1.%2.%3.%4.%5.%6　"/>
      <w:lvlJc w:val="left"/>
      <w:pPr>
        <w:ind w:left="0" w:firstLine="0"/>
      </w:pPr>
      <w:rPr>
        <w:rFonts w:hint="eastAsia" w:ascii="黑体" w:hAnsi="Times New Roman" w:eastAsia="黑体"/>
        <w:b w:val="0"/>
        <w:i w:val="0"/>
        <w:sz w:val="21"/>
      </w:rPr>
    </w:lvl>
    <w:lvl w:ilvl="6" w:tentative="0">
      <w:start w:val="1"/>
      <w:numFmt w:val="decimal"/>
      <w:pStyle w:val="10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9">
    <w:nsid w:val="68C8280C"/>
    <w:multiLevelType w:val="multilevel"/>
    <w:tmpl w:val="68C8280C"/>
    <w:lvl w:ilvl="0" w:tentative="0">
      <w:start w:val="1"/>
      <w:numFmt w:val="decimal"/>
      <w:pStyle w:val="5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3"/>
      <w:suff w:val="nothing"/>
      <w:lvlText w:val="%1.%2.%3　"/>
      <w:lvlJc w:val="left"/>
      <w:pPr>
        <w:ind w:left="0" w:firstLine="0"/>
      </w:pPr>
      <w:rPr>
        <w:rFonts w:hint="eastAsia" w:ascii="黑体" w:hAnsi="Times New Roman" w:eastAsia="黑体"/>
        <w:b w:val="0"/>
        <w:i w:val="0"/>
        <w:sz w:val="21"/>
      </w:rPr>
    </w:lvl>
    <w:lvl w:ilvl="3" w:tentative="0">
      <w:start w:val="1"/>
      <w:numFmt w:val="decimal"/>
      <w:pStyle w:val="58"/>
      <w:suff w:val="nothing"/>
      <w:lvlText w:val="%1.%2.%3.%4　"/>
      <w:lvlJc w:val="left"/>
      <w:pPr>
        <w:ind w:left="0" w:firstLine="0"/>
      </w:pPr>
      <w:rPr>
        <w:rFonts w:hint="eastAsia" w:ascii="黑体" w:hAnsi="Times New Roman" w:eastAsia="黑体"/>
        <w:b w:val="0"/>
        <w:i w:val="0"/>
        <w:sz w:val="21"/>
      </w:rPr>
    </w:lvl>
    <w:lvl w:ilvl="4" w:tentative="0">
      <w:start w:val="1"/>
      <w:numFmt w:val="decimal"/>
      <w:pStyle w:val="62"/>
      <w:suff w:val="nothing"/>
      <w:lvlText w:val="%1.%2.%3.%4.%5　"/>
      <w:lvlJc w:val="left"/>
      <w:pPr>
        <w:ind w:left="0" w:firstLine="0"/>
      </w:pPr>
      <w:rPr>
        <w:rFonts w:hint="eastAsia" w:ascii="黑体" w:hAnsi="Times New Roman" w:eastAsia="黑体"/>
        <w:b w:val="0"/>
        <w:i w:val="0"/>
        <w:sz w:val="21"/>
      </w:rPr>
    </w:lvl>
    <w:lvl w:ilvl="5" w:tentative="0">
      <w:start w:val="1"/>
      <w:numFmt w:val="decimal"/>
      <w:pStyle w:val="6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0">
    <w:nsid w:val="6D6C07CD"/>
    <w:multiLevelType w:val="multilevel"/>
    <w:tmpl w:val="6D6C07CD"/>
    <w:lvl w:ilvl="0" w:tentative="0">
      <w:start w:val="1"/>
      <w:numFmt w:val="lowerLetter"/>
      <w:pStyle w:val="112"/>
      <w:lvlText w:val="%1)"/>
      <w:lvlJc w:val="left"/>
      <w:pPr>
        <w:tabs>
          <w:tab w:val="left" w:pos="839"/>
        </w:tabs>
        <w:ind w:left="839" w:hanging="419"/>
      </w:pPr>
      <w:rPr>
        <w:rFonts w:hint="eastAsia" w:ascii="宋体" w:eastAsia="宋体"/>
        <w:b w:val="0"/>
        <w:i w:val="0"/>
        <w:sz w:val="21"/>
      </w:rPr>
    </w:lvl>
    <w:lvl w:ilvl="1" w:tentative="0">
      <w:start w:val="1"/>
      <w:numFmt w:val="decimal"/>
      <w:pStyle w:val="10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1">
    <w:nsid w:val="6DBF04F4"/>
    <w:multiLevelType w:val="multilevel"/>
    <w:tmpl w:val="6DBF04F4"/>
    <w:lvl w:ilvl="0" w:tentative="0">
      <w:start w:val="1"/>
      <w:numFmt w:val="none"/>
      <w:pStyle w:val="6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2">
    <w:nsid w:val="7ED18E1E"/>
    <w:multiLevelType w:val="singleLevel"/>
    <w:tmpl w:val="7ED18E1E"/>
    <w:lvl w:ilvl="0" w:tentative="0">
      <w:start w:val="1"/>
      <w:numFmt w:val="lowerLetter"/>
      <w:suff w:val="space"/>
      <w:lvlText w:val="%1)"/>
      <w:lvlJc w:val="left"/>
    </w:lvl>
  </w:abstractNum>
  <w:num w:numId="1">
    <w:abstractNumId w:val="11"/>
  </w:num>
  <w:num w:numId="2">
    <w:abstractNumId w:val="19"/>
  </w:num>
  <w:num w:numId="3">
    <w:abstractNumId w:val="10"/>
  </w:num>
  <w:num w:numId="4">
    <w:abstractNumId w:val="6"/>
  </w:num>
  <w:num w:numId="5">
    <w:abstractNumId w:val="12"/>
  </w:num>
  <w:num w:numId="6">
    <w:abstractNumId w:val="21"/>
  </w:num>
  <w:num w:numId="7">
    <w:abstractNumId w:val="4"/>
  </w:num>
  <w:num w:numId="8">
    <w:abstractNumId w:val="13"/>
  </w:num>
  <w:num w:numId="9">
    <w:abstractNumId w:val="8"/>
  </w:num>
  <w:num w:numId="10">
    <w:abstractNumId w:val="18"/>
  </w:num>
  <w:num w:numId="11">
    <w:abstractNumId w:val="16"/>
  </w:num>
  <w:num w:numId="12">
    <w:abstractNumId w:val="20"/>
  </w:num>
  <w:num w:numId="13">
    <w:abstractNumId w:val="9"/>
  </w:num>
  <w:num w:numId="14">
    <w:abstractNumId w:val="5"/>
  </w:num>
  <w:num w:numId="15">
    <w:abstractNumId w:val="7"/>
  </w:num>
  <w:num w:numId="16">
    <w:abstractNumId w:val="17"/>
  </w:num>
  <w:num w:numId="17">
    <w:abstractNumId w:val="14"/>
  </w:num>
  <w:num w:numId="18">
    <w:abstractNumId w:val="3"/>
  </w:num>
  <w:num w:numId="19">
    <w:abstractNumId w:val="15"/>
  </w:num>
  <w:num w:numId="20">
    <w:abstractNumId w:val="2"/>
  </w:num>
  <w:num w:numId="21">
    <w:abstractNumId w:val="0"/>
  </w:num>
  <w:num w:numId="22">
    <w:abstractNumId w:val="2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0NmM4MmJiNmFlZjViYmE1OWZmOTY0YzNkNWI1ZWUifQ=="/>
  </w:docVars>
  <w:rsids>
    <w:rsidRoot w:val="00035925"/>
    <w:rsid w:val="00000244"/>
    <w:rsid w:val="0000185F"/>
    <w:rsid w:val="0000187A"/>
    <w:rsid w:val="000030BD"/>
    <w:rsid w:val="0000586F"/>
    <w:rsid w:val="00007ADF"/>
    <w:rsid w:val="000120D1"/>
    <w:rsid w:val="00013D86"/>
    <w:rsid w:val="00013E02"/>
    <w:rsid w:val="0002006C"/>
    <w:rsid w:val="000206D0"/>
    <w:rsid w:val="0002143C"/>
    <w:rsid w:val="00025A65"/>
    <w:rsid w:val="00026C31"/>
    <w:rsid w:val="00027280"/>
    <w:rsid w:val="000320A7"/>
    <w:rsid w:val="00032F05"/>
    <w:rsid w:val="00035925"/>
    <w:rsid w:val="00067CDF"/>
    <w:rsid w:val="00074FBE"/>
    <w:rsid w:val="00075195"/>
    <w:rsid w:val="00076C5E"/>
    <w:rsid w:val="00083A09"/>
    <w:rsid w:val="00085644"/>
    <w:rsid w:val="0009005E"/>
    <w:rsid w:val="00092857"/>
    <w:rsid w:val="0009562B"/>
    <w:rsid w:val="000A20A9"/>
    <w:rsid w:val="000A48B1"/>
    <w:rsid w:val="000A6B33"/>
    <w:rsid w:val="000B3143"/>
    <w:rsid w:val="000B454F"/>
    <w:rsid w:val="000C6B05"/>
    <w:rsid w:val="000C6DD6"/>
    <w:rsid w:val="000C73D4"/>
    <w:rsid w:val="000D3D4C"/>
    <w:rsid w:val="000D4F51"/>
    <w:rsid w:val="000D718B"/>
    <w:rsid w:val="000E0C46"/>
    <w:rsid w:val="000F030C"/>
    <w:rsid w:val="000F129C"/>
    <w:rsid w:val="0010154A"/>
    <w:rsid w:val="00102518"/>
    <w:rsid w:val="001056DE"/>
    <w:rsid w:val="00111FA9"/>
    <w:rsid w:val="001124C0"/>
    <w:rsid w:val="00115E15"/>
    <w:rsid w:val="0013175F"/>
    <w:rsid w:val="00147AFF"/>
    <w:rsid w:val="001512B4"/>
    <w:rsid w:val="001620A5"/>
    <w:rsid w:val="00164E53"/>
    <w:rsid w:val="0016699D"/>
    <w:rsid w:val="00175159"/>
    <w:rsid w:val="00176208"/>
    <w:rsid w:val="0018211B"/>
    <w:rsid w:val="00182B7C"/>
    <w:rsid w:val="001840D3"/>
    <w:rsid w:val="001900F8"/>
    <w:rsid w:val="00191258"/>
    <w:rsid w:val="00192680"/>
    <w:rsid w:val="00193037"/>
    <w:rsid w:val="00193A2C"/>
    <w:rsid w:val="001A0D32"/>
    <w:rsid w:val="001A288E"/>
    <w:rsid w:val="001A4402"/>
    <w:rsid w:val="001B6DC2"/>
    <w:rsid w:val="001C149C"/>
    <w:rsid w:val="001C21AC"/>
    <w:rsid w:val="001C47BA"/>
    <w:rsid w:val="001C59EA"/>
    <w:rsid w:val="001D3457"/>
    <w:rsid w:val="001D406C"/>
    <w:rsid w:val="001D41EE"/>
    <w:rsid w:val="001E0380"/>
    <w:rsid w:val="001E13B1"/>
    <w:rsid w:val="001F3A19"/>
    <w:rsid w:val="001F5C70"/>
    <w:rsid w:val="00214A9B"/>
    <w:rsid w:val="00234467"/>
    <w:rsid w:val="00237D8D"/>
    <w:rsid w:val="00240D0C"/>
    <w:rsid w:val="00241DA2"/>
    <w:rsid w:val="0024578E"/>
    <w:rsid w:val="00247FEE"/>
    <w:rsid w:val="00250E7D"/>
    <w:rsid w:val="002565D5"/>
    <w:rsid w:val="00256A02"/>
    <w:rsid w:val="002622C0"/>
    <w:rsid w:val="00273E14"/>
    <w:rsid w:val="00275451"/>
    <w:rsid w:val="002778AE"/>
    <w:rsid w:val="0028269A"/>
    <w:rsid w:val="00283590"/>
    <w:rsid w:val="00286973"/>
    <w:rsid w:val="00286E55"/>
    <w:rsid w:val="00294E70"/>
    <w:rsid w:val="002A1924"/>
    <w:rsid w:val="002A7420"/>
    <w:rsid w:val="002B0F12"/>
    <w:rsid w:val="002B1308"/>
    <w:rsid w:val="002B4554"/>
    <w:rsid w:val="002C2D40"/>
    <w:rsid w:val="002C72D8"/>
    <w:rsid w:val="002D11FA"/>
    <w:rsid w:val="002D476A"/>
    <w:rsid w:val="002E0DDF"/>
    <w:rsid w:val="002E2906"/>
    <w:rsid w:val="002E5635"/>
    <w:rsid w:val="002E64C3"/>
    <w:rsid w:val="002E6A2C"/>
    <w:rsid w:val="002E7D42"/>
    <w:rsid w:val="002F1D8C"/>
    <w:rsid w:val="002F21DA"/>
    <w:rsid w:val="002F58D9"/>
    <w:rsid w:val="00301F39"/>
    <w:rsid w:val="00304653"/>
    <w:rsid w:val="00325580"/>
    <w:rsid w:val="00325926"/>
    <w:rsid w:val="00325F50"/>
    <w:rsid w:val="00327A8A"/>
    <w:rsid w:val="00336610"/>
    <w:rsid w:val="003431D3"/>
    <w:rsid w:val="0034395B"/>
    <w:rsid w:val="00343F73"/>
    <w:rsid w:val="00345060"/>
    <w:rsid w:val="0035323B"/>
    <w:rsid w:val="003609D2"/>
    <w:rsid w:val="003615DB"/>
    <w:rsid w:val="00363F22"/>
    <w:rsid w:val="003738E5"/>
    <w:rsid w:val="00375564"/>
    <w:rsid w:val="003830AF"/>
    <w:rsid w:val="00383191"/>
    <w:rsid w:val="00383C41"/>
    <w:rsid w:val="00386DED"/>
    <w:rsid w:val="003912E7"/>
    <w:rsid w:val="00393947"/>
    <w:rsid w:val="00396106"/>
    <w:rsid w:val="003A2275"/>
    <w:rsid w:val="003A6435"/>
    <w:rsid w:val="003A6A4F"/>
    <w:rsid w:val="003A7088"/>
    <w:rsid w:val="003B00DF"/>
    <w:rsid w:val="003B1275"/>
    <w:rsid w:val="003B1778"/>
    <w:rsid w:val="003B2651"/>
    <w:rsid w:val="003C11CB"/>
    <w:rsid w:val="003C7200"/>
    <w:rsid w:val="003C75F3"/>
    <w:rsid w:val="003C78A3"/>
    <w:rsid w:val="003D3465"/>
    <w:rsid w:val="003D34E7"/>
    <w:rsid w:val="003E1867"/>
    <w:rsid w:val="003E5729"/>
    <w:rsid w:val="003F2E1B"/>
    <w:rsid w:val="003F4EE0"/>
    <w:rsid w:val="00402153"/>
    <w:rsid w:val="00402FC1"/>
    <w:rsid w:val="004103EA"/>
    <w:rsid w:val="0041625D"/>
    <w:rsid w:val="00420791"/>
    <w:rsid w:val="00425082"/>
    <w:rsid w:val="004312C1"/>
    <w:rsid w:val="00431DEB"/>
    <w:rsid w:val="0044180A"/>
    <w:rsid w:val="004424A1"/>
    <w:rsid w:val="004465A8"/>
    <w:rsid w:val="00446B29"/>
    <w:rsid w:val="00453F9A"/>
    <w:rsid w:val="00471E91"/>
    <w:rsid w:val="004743AD"/>
    <w:rsid w:val="00474675"/>
    <w:rsid w:val="0047470C"/>
    <w:rsid w:val="00481AB2"/>
    <w:rsid w:val="004852F1"/>
    <w:rsid w:val="004A0614"/>
    <w:rsid w:val="004A1255"/>
    <w:rsid w:val="004A35F9"/>
    <w:rsid w:val="004A767A"/>
    <w:rsid w:val="004B24C1"/>
    <w:rsid w:val="004C292F"/>
    <w:rsid w:val="004C3D34"/>
    <w:rsid w:val="00510280"/>
    <w:rsid w:val="00513D73"/>
    <w:rsid w:val="00514A43"/>
    <w:rsid w:val="005174E5"/>
    <w:rsid w:val="00522393"/>
    <w:rsid w:val="00522620"/>
    <w:rsid w:val="00525656"/>
    <w:rsid w:val="00534C02"/>
    <w:rsid w:val="0054264B"/>
    <w:rsid w:val="00542973"/>
    <w:rsid w:val="00543786"/>
    <w:rsid w:val="00547BF0"/>
    <w:rsid w:val="005533D7"/>
    <w:rsid w:val="005703DE"/>
    <w:rsid w:val="00570AD8"/>
    <w:rsid w:val="0057335E"/>
    <w:rsid w:val="00574C12"/>
    <w:rsid w:val="0058464E"/>
    <w:rsid w:val="005A01CB"/>
    <w:rsid w:val="005A58FF"/>
    <w:rsid w:val="005A5EAF"/>
    <w:rsid w:val="005A64C0"/>
    <w:rsid w:val="005B3C11"/>
    <w:rsid w:val="005C1C28"/>
    <w:rsid w:val="005C6DB5"/>
    <w:rsid w:val="005E19E7"/>
    <w:rsid w:val="005E46B6"/>
    <w:rsid w:val="005F07BC"/>
    <w:rsid w:val="0061716C"/>
    <w:rsid w:val="006243A1"/>
    <w:rsid w:val="00632E56"/>
    <w:rsid w:val="00635CBA"/>
    <w:rsid w:val="00636473"/>
    <w:rsid w:val="00640070"/>
    <w:rsid w:val="00640712"/>
    <w:rsid w:val="0064338B"/>
    <w:rsid w:val="00646542"/>
    <w:rsid w:val="006504F4"/>
    <w:rsid w:val="00650EA9"/>
    <w:rsid w:val="00651E64"/>
    <w:rsid w:val="00654BC9"/>
    <w:rsid w:val="006552FD"/>
    <w:rsid w:val="006629AE"/>
    <w:rsid w:val="00663AF3"/>
    <w:rsid w:val="00664AD2"/>
    <w:rsid w:val="00666B6C"/>
    <w:rsid w:val="00682682"/>
    <w:rsid w:val="00682702"/>
    <w:rsid w:val="00685DC5"/>
    <w:rsid w:val="00692368"/>
    <w:rsid w:val="006926DE"/>
    <w:rsid w:val="006A2EBC"/>
    <w:rsid w:val="006A5EA0"/>
    <w:rsid w:val="006A783B"/>
    <w:rsid w:val="006A7B33"/>
    <w:rsid w:val="006B4E13"/>
    <w:rsid w:val="006B5440"/>
    <w:rsid w:val="006B71E6"/>
    <w:rsid w:val="006B75DD"/>
    <w:rsid w:val="006C67E0"/>
    <w:rsid w:val="006C6D1D"/>
    <w:rsid w:val="006C7ABA"/>
    <w:rsid w:val="006D0D60"/>
    <w:rsid w:val="006D1122"/>
    <w:rsid w:val="006D3C00"/>
    <w:rsid w:val="006E3675"/>
    <w:rsid w:val="006E4A7F"/>
    <w:rsid w:val="006F2838"/>
    <w:rsid w:val="00704DF6"/>
    <w:rsid w:val="0070651C"/>
    <w:rsid w:val="00706B0E"/>
    <w:rsid w:val="007129FE"/>
    <w:rsid w:val="007132A3"/>
    <w:rsid w:val="00716421"/>
    <w:rsid w:val="0072093F"/>
    <w:rsid w:val="00724EFB"/>
    <w:rsid w:val="007411AA"/>
    <w:rsid w:val="007419C3"/>
    <w:rsid w:val="007465C7"/>
    <w:rsid w:val="007467A7"/>
    <w:rsid w:val="007469DD"/>
    <w:rsid w:val="0074741B"/>
    <w:rsid w:val="0074759E"/>
    <w:rsid w:val="007478EA"/>
    <w:rsid w:val="00753F6E"/>
    <w:rsid w:val="0075415C"/>
    <w:rsid w:val="00763502"/>
    <w:rsid w:val="007913AB"/>
    <w:rsid w:val="007914F7"/>
    <w:rsid w:val="00797E5B"/>
    <w:rsid w:val="007A052B"/>
    <w:rsid w:val="007B1625"/>
    <w:rsid w:val="007B706E"/>
    <w:rsid w:val="007B71EB"/>
    <w:rsid w:val="007C6205"/>
    <w:rsid w:val="007C686A"/>
    <w:rsid w:val="007C728E"/>
    <w:rsid w:val="007D0259"/>
    <w:rsid w:val="007D2C53"/>
    <w:rsid w:val="007D3D60"/>
    <w:rsid w:val="007E1980"/>
    <w:rsid w:val="007E4B76"/>
    <w:rsid w:val="007E5EA8"/>
    <w:rsid w:val="007F0CF1"/>
    <w:rsid w:val="007F12A5"/>
    <w:rsid w:val="007F4CF1"/>
    <w:rsid w:val="007F758D"/>
    <w:rsid w:val="007F7D52"/>
    <w:rsid w:val="0080654C"/>
    <w:rsid w:val="008071C6"/>
    <w:rsid w:val="00815E2B"/>
    <w:rsid w:val="008166F8"/>
    <w:rsid w:val="00817A00"/>
    <w:rsid w:val="00825652"/>
    <w:rsid w:val="008302CC"/>
    <w:rsid w:val="00833024"/>
    <w:rsid w:val="00835DB3"/>
    <w:rsid w:val="0083617B"/>
    <w:rsid w:val="008371BD"/>
    <w:rsid w:val="00846BF0"/>
    <w:rsid w:val="008504A8"/>
    <w:rsid w:val="0085282E"/>
    <w:rsid w:val="00852E4B"/>
    <w:rsid w:val="008555C4"/>
    <w:rsid w:val="0086120C"/>
    <w:rsid w:val="0087198C"/>
    <w:rsid w:val="00872C1F"/>
    <w:rsid w:val="00873B42"/>
    <w:rsid w:val="0087578F"/>
    <w:rsid w:val="00883D3D"/>
    <w:rsid w:val="008856D8"/>
    <w:rsid w:val="008869F1"/>
    <w:rsid w:val="00892E82"/>
    <w:rsid w:val="00892FA8"/>
    <w:rsid w:val="0089703C"/>
    <w:rsid w:val="008C06B1"/>
    <w:rsid w:val="008C1B58"/>
    <w:rsid w:val="008C39AE"/>
    <w:rsid w:val="008C4208"/>
    <w:rsid w:val="008C590D"/>
    <w:rsid w:val="008E031B"/>
    <w:rsid w:val="008E247B"/>
    <w:rsid w:val="008E62ED"/>
    <w:rsid w:val="008E7029"/>
    <w:rsid w:val="008E7EF6"/>
    <w:rsid w:val="008F1F98"/>
    <w:rsid w:val="008F6758"/>
    <w:rsid w:val="009040DD"/>
    <w:rsid w:val="009051FB"/>
    <w:rsid w:val="00905B47"/>
    <w:rsid w:val="0091331C"/>
    <w:rsid w:val="009231C7"/>
    <w:rsid w:val="009279DE"/>
    <w:rsid w:val="00930116"/>
    <w:rsid w:val="0093400C"/>
    <w:rsid w:val="0094212C"/>
    <w:rsid w:val="00944CD5"/>
    <w:rsid w:val="00954689"/>
    <w:rsid w:val="009617C9"/>
    <w:rsid w:val="00961C93"/>
    <w:rsid w:val="00965324"/>
    <w:rsid w:val="0097091E"/>
    <w:rsid w:val="009760D3"/>
    <w:rsid w:val="00977132"/>
    <w:rsid w:val="00981A4B"/>
    <w:rsid w:val="00982501"/>
    <w:rsid w:val="00986F31"/>
    <w:rsid w:val="0098742A"/>
    <w:rsid w:val="009877D3"/>
    <w:rsid w:val="00994E8F"/>
    <w:rsid w:val="009951DC"/>
    <w:rsid w:val="009959BB"/>
    <w:rsid w:val="00997158"/>
    <w:rsid w:val="009A3A7C"/>
    <w:rsid w:val="009A4B83"/>
    <w:rsid w:val="009B2ADB"/>
    <w:rsid w:val="009B603A"/>
    <w:rsid w:val="009C2D0E"/>
    <w:rsid w:val="009C3DAC"/>
    <w:rsid w:val="009C42E0"/>
    <w:rsid w:val="009C5EDE"/>
    <w:rsid w:val="009D1EFD"/>
    <w:rsid w:val="009D5362"/>
    <w:rsid w:val="009E00C6"/>
    <w:rsid w:val="009E1415"/>
    <w:rsid w:val="009E6116"/>
    <w:rsid w:val="009F17B2"/>
    <w:rsid w:val="00A02E43"/>
    <w:rsid w:val="00A065F9"/>
    <w:rsid w:val="00A07F34"/>
    <w:rsid w:val="00A22154"/>
    <w:rsid w:val="00A25C38"/>
    <w:rsid w:val="00A265AD"/>
    <w:rsid w:val="00A36BBE"/>
    <w:rsid w:val="00A4307A"/>
    <w:rsid w:val="00A47EBB"/>
    <w:rsid w:val="00A51CDD"/>
    <w:rsid w:val="00A6730D"/>
    <w:rsid w:val="00A71625"/>
    <w:rsid w:val="00A71B9B"/>
    <w:rsid w:val="00A73827"/>
    <w:rsid w:val="00A738F2"/>
    <w:rsid w:val="00A751C7"/>
    <w:rsid w:val="00A87844"/>
    <w:rsid w:val="00A96F01"/>
    <w:rsid w:val="00AA038C"/>
    <w:rsid w:val="00AA7A09"/>
    <w:rsid w:val="00AB3B50"/>
    <w:rsid w:val="00AC05B1"/>
    <w:rsid w:val="00AD356C"/>
    <w:rsid w:val="00AE2914"/>
    <w:rsid w:val="00AE6D15"/>
    <w:rsid w:val="00AF00EA"/>
    <w:rsid w:val="00B04182"/>
    <w:rsid w:val="00B07AE3"/>
    <w:rsid w:val="00B11430"/>
    <w:rsid w:val="00B34649"/>
    <w:rsid w:val="00B353EB"/>
    <w:rsid w:val="00B439C4"/>
    <w:rsid w:val="00B4535E"/>
    <w:rsid w:val="00B51041"/>
    <w:rsid w:val="00B52A8C"/>
    <w:rsid w:val="00B636A8"/>
    <w:rsid w:val="00B665C6"/>
    <w:rsid w:val="00B66AAB"/>
    <w:rsid w:val="00B71898"/>
    <w:rsid w:val="00B74503"/>
    <w:rsid w:val="00B805AF"/>
    <w:rsid w:val="00B81FB3"/>
    <w:rsid w:val="00B869EC"/>
    <w:rsid w:val="00B92997"/>
    <w:rsid w:val="00B9397A"/>
    <w:rsid w:val="00B9633D"/>
    <w:rsid w:val="00BA06E7"/>
    <w:rsid w:val="00BA2EBE"/>
    <w:rsid w:val="00BA63F0"/>
    <w:rsid w:val="00BB0F28"/>
    <w:rsid w:val="00BB2823"/>
    <w:rsid w:val="00BB458A"/>
    <w:rsid w:val="00BB4E6E"/>
    <w:rsid w:val="00BB5802"/>
    <w:rsid w:val="00BD00D3"/>
    <w:rsid w:val="00BD1659"/>
    <w:rsid w:val="00BD3AA9"/>
    <w:rsid w:val="00BD4A18"/>
    <w:rsid w:val="00BD6DB2"/>
    <w:rsid w:val="00BE054A"/>
    <w:rsid w:val="00BE11CF"/>
    <w:rsid w:val="00BE21AB"/>
    <w:rsid w:val="00BE55CB"/>
    <w:rsid w:val="00BF617A"/>
    <w:rsid w:val="00C0379D"/>
    <w:rsid w:val="00C03931"/>
    <w:rsid w:val="00C05FE3"/>
    <w:rsid w:val="00C14CCC"/>
    <w:rsid w:val="00C2136D"/>
    <w:rsid w:val="00C214EE"/>
    <w:rsid w:val="00C2314B"/>
    <w:rsid w:val="00C24971"/>
    <w:rsid w:val="00C26BE5"/>
    <w:rsid w:val="00C26E4D"/>
    <w:rsid w:val="00C27909"/>
    <w:rsid w:val="00C27B03"/>
    <w:rsid w:val="00C314E1"/>
    <w:rsid w:val="00C34397"/>
    <w:rsid w:val="00C4095D"/>
    <w:rsid w:val="00C438C0"/>
    <w:rsid w:val="00C44493"/>
    <w:rsid w:val="00C601D2"/>
    <w:rsid w:val="00C65BCC"/>
    <w:rsid w:val="00C66970"/>
    <w:rsid w:val="00C72DAD"/>
    <w:rsid w:val="00C753D5"/>
    <w:rsid w:val="00C8106D"/>
    <w:rsid w:val="00C85165"/>
    <w:rsid w:val="00C8691C"/>
    <w:rsid w:val="00CA168A"/>
    <w:rsid w:val="00CA357E"/>
    <w:rsid w:val="00CA44F9"/>
    <w:rsid w:val="00CA4A69"/>
    <w:rsid w:val="00CB08E6"/>
    <w:rsid w:val="00CB3CCB"/>
    <w:rsid w:val="00CB7184"/>
    <w:rsid w:val="00CC3E0C"/>
    <w:rsid w:val="00CC58D3"/>
    <w:rsid w:val="00CC784D"/>
    <w:rsid w:val="00CE72BD"/>
    <w:rsid w:val="00CF3EE0"/>
    <w:rsid w:val="00D006CC"/>
    <w:rsid w:val="00D0337B"/>
    <w:rsid w:val="00D079B2"/>
    <w:rsid w:val="00D10297"/>
    <w:rsid w:val="00D114E9"/>
    <w:rsid w:val="00D21A93"/>
    <w:rsid w:val="00D24449"/>
    <w:rsid w:val="00D3208C"/>
    <w:rsid w:val="00D33A40"/>
    <w:rsid w:val="00D429C6"/>
    <w:rsid w:val="00D47748"/>
    <w:rsid w:val="00D54CC3"/>
    <w:rsid w:val="00D54FA9"/>
    <w:rsid w:val="00D6041A"/>
    <w:rsid w:val="00D633EB"/>
    <w:rsid w:val="00D65565"/>
    <w:rsid w:val="00D82FF7"/>
    <w:rsid w:val="00D83948"/>
    <w:rsid w:val="00D847FE"/>
    <w:rsid w:val="00D92D02"/>
    <w:rsid w:val="00D964EA"/>
    <w:rsid w:val="00D966D0"/>
    <w:rsid w:val="00D971DD"/>
    <w:rsid w:val="00DA0C59"/>
    <w:rsid w:val="00DA3991"/>
    <w:rsid w:val="00DB7E6C"/>
    <w:rsid w:val="00DD2D10"/>
    <w:rsid w:val="00DD5521"/>
    <w:rsid w:val="00DD5927"/>
    <w:rsid w:val="00DD5A29"/>
    <w:rsid w:val="00DD5D9D"/>
    <w:rsid w:val="00DE35CB"/>
    <w:rsid w:val="00DF21E9"/>
    <w:rsid w:val="00E00F14"/>
    <w:rsid w:val="00E04267"/>
    <w:rsid w:val="00E06386"/>
    <w:rsid w:val="00E137FC"/>
    <w:rsid w:val="00E13AB7"/>
    <w:rsid w:val="00E24EB4"/>
    <w:rsid w:val="00E3189F"/>
    <w:rsid w:val="00E320ED"/>
    <w:rsid w:val="00E33AFB"/>
    <w:rsid w:val="00E34218"/>
    <w:rsid w:val="00E43E80"/>
    <w:rsid w:val="00E450E6"/>
    <w:rsid w:val="00E46282"/>
    <w:rsid w:val="00E5216E"/>
    <w:rsid w:val="00E56867"/>
    <w:rsid w:val="00E71BC6"/>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3F6E"/>
    <w:rsid w:val="00EC680A"/>
    <w:rsid w:val="00EE2BED"/>
    <w:rsid w:val="00EE374B"/>
    <w:rsid w:val="00EF786E"/>
    <w:rsid w:val="00F054B6"/>
    <w:rsid w:val="00F11BB5"/>
    <w:rsid w:val="00F1417B"/>
    <w:rsid w:val="00F2090E"/>
    <w:rsid w:val="00F25F40"/>
    <w:rsid w:val="00F34B99"/>
    <w:rsid w:val="00F52DAB"/>
    <w:rsid w:val="00F543F0"/>
    <w:rsid w:val="00F76ED2"/>
    <w:rsid w:val="00F81D29"/>
    <w:rsid w:val="00F91C4D"/>
    <w:rsid w:val="00F92FD9"/>
    <w:rsid w:val="00FA6684"/>
    <w:rsid w:val="00FA731E"/>
    <w:rsid w:val="00FB2B38"/>
    <w:rsid w:val="00FB3A79"/>
    <w:rsid w:val="00FC344E"/>
    <w:rsid w:val="00FC6358"/>
    <w:rsid w:val="00FC7AF2"/>
    <w:rsid w:val="00FD320D"/>
    <w:rsid w:val="00FD4EF1"/>
    <w:rsid w:val="00FE23DE"/>
    <w:rsid w:val="0553479D"/>
    <w:rsid w:val="085461B3"/>
    <w:rsid w:val="08E61775"/>
    <w:rsid w:val="0A1D383B"/>
    <w:rsid w:val="0CBF7754"/>
    <w:rsid w:val="0ECB5B53"/>
    <w:rsid w:val="10CA0F61"/>
    <w:rsid w:val="1245742C"/>
    <w:rsid w:val="13223974"/>
    <w:rsid w:val="13EA1C79"/>
    <w:rsid w:val="15A97823"/>
    <w:rsid w:val="15AB7190"/>
    <w:rsid w:val="17446EE8"/>
    <w:rsid w:val="18BC3645"/>
    <w:rsid w:val="191F46F3"/>
    <w:rsid w:val="1D9FA224"/>
    <w:rsid w:val="1F622BDA"/>
    <w:rsid w:val="1FB95971"/>
    <w:rsid w:val="1FDF3EED"/>
    <w:rsid w:val="212A7FBE"/>
    <w:rsid w:val="222F7B29"/>
    <w:rsid w:val="27BD1CA7"/>
    <w:rsid w:val="2941317F"/>
    <w:rsid w:val="296D0084"/>
    <w:rsid w:val="29CD21FE"/>
    <w:rsid w:val="2A78549E"/>
    <w:rsid w:val="2B7E52A9"/>
    <w:rsid w:val="32E754DA"/>
    <w:rsid w:val="35CC2D09"/>
    <w:rsid w:val="36CA68E6"/>
    <w:rsid w:val="37504CCE"/>
    <w:rsid w:val="39705EED"/>
    <w:rsid w:val="39827299"/>
    <w:rsid w:val="42A71004"/>
    <w:rsid w:val="44CE606F"/>
    <w:rsid w:val="461D6447"/>
    <w:rsid w:val="46797604"/>
    <w:rsid w:val="472D03B6"/>
    <w:rsid w:val="4B6F3EE7"/>
    <w:rsid w:val="4F472051"/>
    <w:rsid w:val="4FB9429F"/>
    <w:rsid w:val="52DE46FC"/>
    <w:rsid w:val="55047D2F"/>
    <w:rsid w:val="593A6827"/>
    <w:rsid w:val="5A48693D"/>
    <w:rsid w:val="5ADB28FF"/>
    <w:rsid w:val="63857CF4"/>
    <w:rsid w:val="65131484"/>
    <w:rsid w:val="65735C2E"/>
    <w:rsid w:val="66570A25"/>
    <w:rsid w:val="686C4937"/>
    <w:rsid w:val="71816354"/>
    <w:rsid w:val="73397A01"/>
    <w:rsid w:val="743B75F4"/>
    <w:rsid w:val="77514EF0"/>
    <w:rsid w:val="77932A94"/>
    <w:rsid w:val="7AC9224D"/>
    <w:rsid w:val="7E6A0056"/>
    <w:rsid w:val="7F1A1C64"/>
    <w:rsid w:val="FFDA2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49"/>
    <w:semiHidden/>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150"/>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155"/>
    <w:semiHidden/>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156"/>
    <w:semiHidden/>
    <w:unhideWhenUsed/>
    <w:qFormat/>
    <w:uiPriority w:val="0"/>
    <w:pPr>
      <w:keepNext/>
      <w:keepLines/>
      <w:spacing w:before="280" w:after="290" w:line="376" w:lineRule="auto"/>
      <w:outlineLvl w:val="4"/>
    </w:pPr>
    <w:rPr>
      <w:b/>
      <w:bCs/>
      <w:sz w:val="28"/>
      <w:szCs w:val="2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tabs>
        <w:tab w:val="right" w:leader="dot" w:pos="9241"/>
      </w:tabs>
      <w:ind w:firstLine="505" w:firstLineChars="500"/>
      <w:jc w:val="left"/>
    </w:pPr>
    <w:rPr>
      <w:rFonts w:ascii="宋体"/>
      <w:szCs w:val="21"/>
    </w:rPr>
  </w:style>
  <w:style w:type="paragraph" w:styleId="8">
    <w:name w:val="index 8"/>
    <w:basedOn w:val="1"/>
    <w:next w:val="1"/>
    <w:qFormat/>
    <w:uiPriority w:val="0"/>
    <w:pPr>
      <w:ind w:left="1680" w:hanging="210"/>
      <w:jc w:val="left"/>
    </w:pPr>
    <w:rPr>
      <w:rFonts w:ascii="Calibri" w:hAnsi="Calibri"/>
      <w:sz w:val="20"/>
      <w:szCs w:val="20"/>
    </w:rPr>
  </w:style>
  <w:style w:type="paragraph" w:styleId="9">
    <w:name w:val="Normal Indent"/>
    <w:basedOn w:val="1"/>
    <w:qFormat/>
    <w:uiPriority w:val="0"/>
    <w:pPr>
      <w:ind w:firstLine="420"/>
    </w:pPr>
    <w:rPr>
      <w:szCs w:val="20"/>
    </w:rPr>
  </w:style>
  <w:style w:type="paragraph" w:styleId="10">
    <w:name w:val="caption"/>
    <w:basedOn w:val="1"/>
    <w:next w:val="1"/>
    <w:qFormat/>
    <w:uiPriority w:val="0"/>
    <w:pPr>
      <w:spacing w:before="152" w:after="160"/>
    </w:pPr>
    <w:rPr>
      <w:rFonts w:ascii="Arial" w:hAnsi="Arial" w:eastAsia="黑体" w:cs="Arial"/>
      <w:sz w:val="20"/>
      <w:szCs w:val="20"/>
    </w:rPr>
  </w:style>
  <w:style w:type="paragraph" w:styleId="11">
    <w:name w:val="index 5"/>
    <w:basedOn w:val="1"/>
    <w:next w:val="1"/>
    <w:qFormat/>
    <w:uiPriority w:val="0"/>
    <w:pPr>
      <w:ind w:left="1050" w:hanging="210"/>
      <w:jc w:val="left"/>
    </w:pPr>
    <w:rPr>
      <w:rFonts w:ascii="Calibri" w:hAnsi="Calibri"/>
      <w:sz w:val="20"/>
      <w:szCs w:val="20"/>
    </w:rPr>
  </w:style>
  <w:style w:type="paragraph" w:styleId="12">
    <w:name w:val="Document Map"/>
    <w:basedOn w:val="1"/>
    <w:semiHidden/>
    <w:qFormat/>
    <w:uiPriority w:val="0"/>
    <w:pPr>
      <w:shd w:val="clear" w:color="auto" w:fill="000080"/>
    </w:pPr>
  </w:style>
  <w:style w:type="paragraph" w:styleId="13">
    <w:name w:val="annotation text"/>
    <w:basedOn w:val="1"/>
    <w:link w:val="167"/>
    <w:qFormat/>
    <w:uiPriority w:val="0"/>
    <w:pPr>
      <w:jc w:val="left"/>
    </w:pPr>
  </w:style>
  <w:style w:type="paragraph" w:styleId="14">
    <w:name w:val="index 6"/>
    <w:basedOn w:val="1"/>
    <w:next w:val="1"/>
    <w:qFormat/>
    <w:uiPriority w:val="0"/>
    <w:pPr>
      <w:ind w:left="1260" w:hanging="210"/>
      <w:jc w:val="left"/>
    </w:pPr>
    <w:rPr>
      <w:rFonts w:ascii="Calibri" w:hAnsi="Calibri"/>
      <w:sz w:val="20"/>
      <w:szCs w:val="20"/>
    </w:rPr>
  </w:style>
  <w:style w:type="paragraph" w:styleId="15">
    <w:name w:val="index 4"/>
    <w:basedOn w:val="1"/>
    <w:next w:val="1"/>
    <w:qFormat/>
    <w:uiPriority w:val="0"/>
    <w:pPr>
      <w:ind w:left="840" w:hanging="210"/>
      <w:jc w:val="left"/>
    </w:pPr>
    <w:rPr>
      <w:rFonts w:ascii="Calibri" w:hAnsi="Calibri"/>
      <w:sz w:val="20"/>
      <w:szCs w:val="20"/>
    </w:rPr>
  </w:style>
  <w:style w:type="paragraph" w:styleId="16">
    <w:name w:val="toc 5"/>
    <w:basedOn w:val="1"/>
    <w:next w:val="1"/>
    <w:semiHidden/>
    <w:qFormat/>
    <w:uiPriority w:val="0"/>
    <w:pPr>
      <w:tabs>
        <w:tab w:val="right" w:leader="dot" w:pos="9241"/>
      </w:tabs>
      <w:ind w:firstLine="300" w:firstLineChars="300"/>
      <w:jc w:val="left"/>
    </w:pPr>
    <w:rPr>
      <w:rFonts w:ascii="宋体"/>
      <w:szCs w:val="21"/>
    </w:rPr>
  </w:style>
  <w:style w:type="paragraph" w:styleId="17">
    <w:name w:val="toc 3"/>
    <w:basedOn w:val="1"/>
    <w:next w:val="1"/>
    <w:semiHidden/>
    <w:qFormat/>
    <w:uiPriority w:val="0"/>
    <w:pPr>
      <w:tabs>
        <w:tab w:val="right" w:leader="dot" w:pos="9241"/>
      </w:tabs>
      <w:ind w:firstLine="102" w:firstLineChars="100"/>
      <w:jc w:val="left"/>
    </w:pPr>
    <w:rPr>
      <w:rFonts w:ascii="宋体"/>
      <w:szCs w:val="21"/>
    </w:rPr>
  </w:style>
  <w:style w:type="paragraph" w:styleId="18">
    <w:name w:val="toc 8"/>
    <w:basedOn w:val="1"/>
    <w:next w:val="1"/>
    <w:semiHidden/>
    <w:qFormat/>
    <w:uiPriority w:val="0"/>
    <w:pPr>
      <w:tabs>
        <w:tab w:val="right" w:leader="dot" w:pos="9241"/>
      </w:tabs>
      <w:ind w:firstLine="607" w:firstLineChars="600"/>
      <w:jc w:val="left"/>
    </w:pPr>
    <w:rPr>
      <w:rFonts w:ascii="宋体"/>
      <w:szCs w:val="21"/>
    </w:rPr>
  </w:style>
  <w:style w:type="paragraph" w:styleId="19">
    <w:name w:val="index 3"/>
    <w:basedOn w:val="1"/>
    <w:next w:val="1"/>
    <w:qFormat/>
    <w:uiPriority w:val="0"/>
    <w:pPr>
      <w:ind w:left="630" w:hanging="210"/>
      <w:jc w:val="left"/>
    </w:pPr>
    <w:rPr>
      <w:rFonts w:ascii="Calibri" w:hAnsi="Calibri"/>
      <w:sz w:val="20"/>
      <w:szCs w:val="20"/>
    </w:rPr>
  </w:style>
  <w:style w:type="paragraph" w:styleId="20">
    <w:name w:val="endnote text"/>
    <w:basedOn w:val="1"/>
    <w:semiHidden/>
    <w:qFormat/>
    <w:uiPriority w:val="0"/>
    <w:pPr>
      <w:snapToGrid w:val="0"/>
      <w:jc w:val="left"/>
    </w:pPr>
  </w:style>
  <w:style w:type="paragraph" w:styleId="21">
    <w:name w:val="Balloon Text"/>
    <w:basedOn w:val="1"/>
    <w:link w:val="169"/>
    <w:qFormat/>
    <w:uiPriority w:val="0"/>
    <w:rPr>
      <w:sz w:val="18"/>
      <w:szCs w:val="18"/>
    </w:rPr>
  </w:style>
  <w:style w:type="paragraph" w:styleId="22">
    <w:name w:val="footer"/>
    <w:basedOn w:val="1"/>
    <w:link w:val="144"/>
    <w:qFormat/>
    <w:uiPriority w:val="99"/>
    <w:pPr>
      <w:snapToGrid w:val="0"/>
      <w:ind w:right="210" w:rightChars="100"/>
      <w:jc w:val="right"/>
    </w:pPr>
    <w:rPr>
      <w:sz w:val="18"/>
      <w:szCs w:val="18"/>
    </w:rPr>
  </w:style>
  <w:style w:type="paragraph" w:styleId="23">
    <w:name w:val="header"/>
    <w:basedOn w:val="1"/>
    <w:link w:val="145"/>
    <w:qFormat/>
    <w:uiPriority w:val="99"/>
    <w:pPr>
      <w:snapToGrid w:val="0"/>
      <w:jc w:val="left"/>
    </w:pPr>
    <w:rPr>
      <w:sz w:val="18"/>
      <w:szCs w:val="18"/>
    </w:rPr>
  </w:style>
  <w:style w:type="paragraph" w:styleId="24">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5">
    <w:name w:val="toc 4"/>
    <w:basedOn w:val="1"/>
    <w:next w:val="1"/>
    <w:semiHidden/>
    <w:qFormat/>
    <w:uiPriority w:val="0"/>
    <w:pPr>
      <w:tabs>
        <w:tab w:val="right" w:leader="dot" w:pos="9241"/>
      </w:tabs>
      <w:ind w:firstLine="198" w:firstLineChars="200"/>
      <w:jc w:val="left"/>
    </w:pPr>
    <w:rPr>
      <w:rFonts w:ascii="宋体"/>
      <w:szCs w:val="21"/>
    </w:rPr>
  </w:style>
  <w:style w:type="paragraph" w:styleId="26">
    <w:name w:val="index heading"/>
    <w:basedOn w:val="1"/>
    <w:next w:val="27"/>
    <w:qFormat/>
    <w:uiPriority w:val="0"/>
    <w:pPr>
      <w:spacing w:before="120" w:after="120"/>
      <w:jc w:val="center"/>
    </w:pPr>
    <w:rPr>
      <w:rFonts w:ascii="Calibri" w:hAnsi="Calibri"/>
      <w:b/>
      <w:bCs/>
      <w:iCs/>
      <w:szCs w:val="20"/>
    </w:rPr>
  </w:style>
  <w:style w:type="paragraph" w:styleId="27">
    <w:name w:val="index 1"/>
    <w:basedOn w:val="1"/>
    <w:next w:val="28"/>
    <w:qFormat/>
    <w:uiPriority w:val="0"/>
    <w:pPr>
      <w:tabs>
        <w:tab w:val="right" w:leader="dot" w:pos="9299"/>
      </w:tabs>
      <w:jc w:val="left"/>
    </w:pPr>
    <w:rPr>
      <w:rFonts w:ascii="宋体"/>
      <w:szCs w:val="21"/>
    </w:rPr>
  </w:style>
  <w:style w:type="paragraph" w:customStyle="1" w:styleId="28">
    <w:name w:val="段"/>
    <w:link w:val="4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9">
    <w:name w:val="Subtitle"/>
    <w:basedOn w:val="1"/>
    <w:next w:val="1"/>
    <w:qFormat/>
    <w:uiPriority w:val="11"/>
    <w:pPr>
      <w:spacing w:before="240" w:after="60" w:line="312" w:lineRule="auto"/>
      <w:jc w:val="center"/>
      <w:outlineLvl w:val="1"/>
    </w:pPr>
    <w:rPr>
      <w:b/>
      <w:bCs/>
      <w:kern w:val="28"/>
      <w:sz w:val="32"/>
      <w:szCs w:val="32"/>
    </w:rPr>
  </w:style>
  <w:style w:type="paragraph" w:styleId="30">
    <w:name w:val="footnote text"/>
    <w:basedOn w:val="1"/>
    <w:qFormat/>
    <w:uiPriority w:val="0"/>
    <w:pPr>
      <w:numPr>
        <w:ilvl w:val="0"/>
        <w:numId w:val="1"/>
      </w:numPr>
      <w:snapToGrid w:val="0"/>
      <w:jc w:val="left"/>
    </w:pPr>
    <w:rPr>
      <w:rFonts w:ascii="宋体"/>
      <w:sz w:val="18"/>
      <w:szCs w:val="18"/>
    </w:rPr>
  </w:style>
  <w:style w:type="paragraph" w:styleId="31">
    <w:name w:val="toc 6"/>
    <w:basedOn w:val="1"/>
    <w:next w:val="1"/>
    <w:semiHidden/>
    <w:qFormat/>
    <w:uiPriority w:val="0"/>
    <w:pPr>
      <w:tabs>
        <w:tab w:val="right" w:leader="dot" w:pos="9241"/>
      </w:tabs>
      <w:ind w:firstLine="403" w:firstLineChars="400"/>
      <w:jc w:val="left"/>
    </w:pPr>
    <w:rPr>
      <w:rFonts w:ascii="宋体"/>
      <w:szCs w:val="21"/>
    </w:rPr>
  </w:style>
  <w:style w:type="paragraph" w:styleId="32">
    <w:name w:val="index 7"/>
    <w:basedOn w:val="1"/>
    <w:next w:val="1"/>
    <w:qFormat/>
    <w:uiPriority w:val="0"/>
    <w:pPr>
      <w:ind w:left="1470" w:hanging="210"/>
      <w:jc w:val="left"/>
    </w:pPr>
    <w:rPr>
      <w:rFonts w:ascii="Calibri" w:hAnsi="Calibri"/>
      <w:sz w:val="20"/>
      <w:szCs w:val="20"/>
    </w:rPr>
  </w:style>
  <w:style w:type="paragraph" w:styleId="33">
    <w:name w:val="index 9"/>
    <w:basedOn w:val="1"/>
    <w:next w:val="1"/>
    <w:qFormat/>
    <w:uiPriority w:val="0"/>
    <w:pPr>
      <w:ind w:left="1890" w:hanging="210"/>
      <w:jc w:val="left"/>
    </w:pPr>
    <w:rPr>
      <w:rFonts w:ascii="Calibri" w:hAnsi="Calibri"/>
      <w:sz w:val="20"/>
      <w:szCs w:val="20"/>
    </w:rPr>
  </w:style>
  <w:style w:type="paragraph" w:styleId="34">
    <w:name w:val="toc 2"/>
    <w:basedOn w:val="1"/>
    <w:next w:val="1"/>
    <w:semiHidden/>
    <w:qFormat/>
    <w:uiPriority w:val="0"/>
    <w:pPr>
      <w:tabs>
        <w:tab w:val="right" w:leader="dot" w:pos="9241"/>
      </w:tabs>
    </w:pPr>
    <w:rPr>
      <w:rFonts w:ascii="宋体"/>
      <w:szCs w:val="21"/>
    </w:rPr>
  </w:style>
  <w:style w:type="paragraph" w:styleId="35">
    <w:name w:val="toc 9"/>
    <w:basedOn w:val="1"/>
    <w:next w:val="1"/>
    <w:semiHidden/>
    <w:qFormat/>
    <w:uiPriority w:val="0"/>
    <w:pPr>
      <w:ind w:left="1470"/>
      <w:jc w:val="left"/>
    </w:pPr>
    <w:rPr>
      <w:sz w:val="20"/>
      <w:szCs w:val="20"/>
    </w:rPr>
  </w:style>
  <w:style w:type="paragraph" w:styleId="36">
    <w:name w:val="index 2"/>
    <w:basedOn w:val="1"/>
    <w:next w:val="1"/>
    <w:qFormat/>
    <w:uiPriority w:val="0"/>
    <w:pPr>
      <w:ind w:left="420" w:hanging="210"/>
      <w:jc w:val="left"/>
    </w:pPr>
    <w:rPr>
      <w:rFonts w:ascii="Calibri" w:hAnsi="Calibri"/>
      <w:sz w:val="20"/>
      <w:szCs w:val="20"/>
    </w:rPr>
  </w:style>
  <w:style w:type="paragraph" w:styleId="37">
    <w:name w:val="Title"/>
    <w:basedOn w:val="1"/>
    <w:next w:val="1"/>
    <w:qFormat/>
    <w:uiPriority w:val="10"/>
    <w:pPr>
      <w:spacing w:before="240" w:after="60"/>
      <w:jc w:val="left"/>
      <w:outlineLvl w:val="0"/>
    </w:pPr>
    <w:rPr>
      <w:rFonts w:asciiTheme="majorHAnsi" w:hAnsiTheme="majorHAnsi" w:cstheme="majorBidi"/>
      <w:b/>
      <w:bCs/>
      <w:sz w:val="28"/>
      <w:szCs w:val="32"/>
    </w:rPr>
  </w:style>
  <w:style w:type="paragraph" w:styleId="38">
    <w:name w:val="annotation subject"/>
    <w:basedOn w:val="13"/>
    <w:next w:val="13"/>
    <w:link w:val="168"/>
    <w:qFormat/>
    <w:uiPriority w:val="0"/>
    <w:rPr>
      <w:b/>
      <w:bCs/>
    </w:rPr>
  </w:style>
  <w:style w:type="table" w:styleId="40">
    <w:name w:val="Table Grid"/>
    <w:basedOn w:val="3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2">
    <w:name w:val="endnote reference"/>
    <w:semiHidden/>
    <w:qFormat/>
    <w:uiPriority w:val="0"/>
    <w:rPr>
      <w:vertAlign w:val="superscript"/>
    </w:rPr>
  </w:style>
  <w:style w:type="character" w:styleId="43">
    <w:name w:val="page number"/>
    <w:qFormat/>
    <w:uiPriority w:val="0"/>
    <w:rPr>
      <w:rFonts w:ascii="Times New Roman" w:hAnsi="Times New Roman" w:eastAsia="宋体"/>
      <w:sz w:val="18"/>
    </w:rPr>
  </w:style>
  <w:style w:type="character" w:styleId="44">
    <w:name w:val="FollowedHyperlink"/>
    <w:qFormat/>
    <w:uiPriority w:val="0"/>
    <w:rPr>
      <w:color w:val="800080"/>
      <w:u w:val="single"/>
    </w:rPr>
  </w:style>
  <w:style w:type="character" w:styleId="45">
    <w:name w:val="Hyperlink"/>
    <w:qFormat/>
    <w:uiPriority w:val="99"/>
    <w:rPr>
      <w:color w:val="0000FF"/>
      <w:spacing w:val="0"/>
      <w:w w:val="100"/>
      <w:szCs w:val="21"/>
      <w:u w:val="single"/>
    </w:rPr>
  </w:style>
  <w:style w:type="character" w:styleId="46">
    <w:name w:val="annotation reference"/>
    <w:basedOn w:val="41"/>
    <w:qFormat/>
    <w:uiPriority w:val="0"/>
    <w:rPr>
      <w:sz w:val="21"/>
      <w:szCs w:val="21"/>
    </w:rPr>
  </w:style>
  <w:style w:type="character" w:styleId="47">
    <w:name w:val="footnote reference"/>
    <w:semiHidden/>
    <w:qFormat/>
    <w:uiPriority w:val="0"/>
    <w:rPr>
      <w:vertAlign w:val="superscript"/>
    </w:rPr>
  </w:style>
  <w:style w:type="character" w:customStyle="1" w:styleId="48">
    <w:name w:val="段 Char"/>
    <w:link w:val="28"/>
    <w:qFormat/>
    <w:uiPriority w:val="0"/>
    <w:rPr>
      <w:rFonts w:ascii="宋体"/>
      <w:sz w:val="21"/>
      <w:lang w:val="en-US" w:eastAsia="zh-CN" w:bidi="ar-SA"/>
    </w:rPr>
  </w:style>
  <w:style w:type="paragraph" w:customStyle="1" w:styleId="49">
    <w:name w:val="一级条标题"/>
    <w:next w:val="28"/>
    <w:link w:val="159"/>
    <w:qFormat/>
    <w:uiPriority w:val="0"/>
    <w:pPr>
      <w:numPr>
        <w:ilvl w:val="1"/>
        <w:numId w:val="2"/>
      </w:numPr>
      <w:spacing w:before="50" w:beforeLines="50" w:after="50" w:afterLines="50"/>
      <w:outlineLvl w:val="2"/>
    </w:pPr>
    <w:rPr>
      <w:rFonts w:ascii="黑体" w:hAnsi="黑体" w:eastAsia="黑体" w:cs="Times New Roman"/>
      <w:sz w:val="21"/>
      <w:szCs w:val="21"/>
      <w:lang w:val="en-US" w:eastAsia="zh-CN" w:bidi="ar-SA"/>
    </w:rPr>
  </w:style>
  <w:style w:type="paragraph" w:customStyle="1" w:styleId="5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2">
    <w:name w:val="章标题"/>
    <w:next w:val="28"/>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3">
    <w:name w:val="二级条标题"/>
    <w:basedOn w:val="49"/>
    <w:next w:val="28"/>
    <w:link w:val="162"/>
    <w:qFormat/>
    <w:uiPriority w:val="0"/>
    <w:pPr>
      <w:numPr>
        <w:ilvl w:val="2"/>
      </w:numPr>
      <w:outlineLvl w:val="3"/>
    </w:pPr>
  </w:style>
  <w:style w:type="paragraph" w:customStyle="1" w:styleId="5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5">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8">
    <w:name w:val="三级条标题"/>
    <w:basedOn w:val="53"/>
    <w:next w:val="28"/>
    <w:link w:val="165"/>
    <w:qFormat/>
    <w:uiPriority w:val="0"/>
    <w:pPr>
      <w:numPr>
        <w:ilvl w:val="3"/>
      </w:numPr>
      <w:outlineLvl w:val="4"/>
    </w:pPr>
  </w:style>
  <w:style w:type="paragraph" w:customStyle="1" w:styleId="59">
    <w:name w:val="示例"/>
    <w:next w:val="60"/>
    <w:qFormat/>
    <w:uiPriority w:val="0"/>
    <w:pPr>
      <w:widowControl w:val="0"/>
      <w:numPr>
        <w:ilvl w:val="0"/>
        <w:numId w:val="4"/>
      </w:numPr>
      <w:ind w:left="0"/>
      <w:jc w:val="both"/>
    </w:pPr>
    <w:rPr>
      <w:rFonts w:ascii="宋体" w:hAnsi="Times New Roman" w:eastAsia="宋体" w:cs="Times New Roman"/>
      <w:sz w:val="18"/>
      <w:szCs w:val="18"/>
      <w:lang w:val="en-US" w:eastAsia="zh-CN" w:bidi="ar-SA"/>
    </w:rPr>
  </w:style>
  <w:style w:type="paragraph" w:customStyle="1" w:styleId="6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1">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2">
    <w:name w:val="四级条标题"/>
    <w:basedOn w:val="58"/>
    <w:next w:val="28"/>
    <w:qFormat/>
    <w:uiPriority w:val="0"/>
    <w:pPr>
      <w:numPr>
        <w:ilvl w:val="4"/>
      </w:numPr>
      <w:outlineLvl w:val="5"/>
    </w:pPr>
  </w:style>
  <w:style w:type="paragraph" w:customStyle="1" w:styleId="63">
    <w:name w:val="五级条标题"/>
    <w:basedOn w:val="62"/>
    <w:next w:val="28"/>
    <w:qFormat/>
    <w:uiPriority w:val="0"/>
    <w:pPr>
      <w:numPr>
        <w:ilvl w:val="5"/>
      </w:numPr>
      <w:outlineLvl w:val="6"/>
    </w:pPr>
  </w:style>
  <w:style w:type="paragraph" w:customStyle="1" w:styleId="64">
    <w:name w:val="注："/>
    <w:next w:val="28"/>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5">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6">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7">
    <w:name w:val="列项◆（三级）"/>
    <w:basedOn w:val="1"/>
    <w:qFormat/>
    <w:uiPriority w:val="0"/>
    <w:pPr>
      <w:numPr>
        <w:ilvl w:val="2"/>
        <w:numId w:val="3"/>
      </w:numPr>
    </w:pPr>
    <w:rPr>
      <w:rFonts w:ascii="宋体"/>
      <w:szCs w:val="21"/>
    </w:rPr>
  </w:style>
  <w:style w:type="paragraph" w:customStyle="1" w:styleId="68">
    <w:name w:val="编号列项（三级）"/>
    <w:qFormat/>
    <w:uiPriority w:val="0"/>
    <w:rPr>
      <w:rFonts w:ascii="宋体" w:hAnsi="Times New Roman" w:eastAsia="宋体" w:cs="Times New Roman"/>
      <w:sz w:val="21"/>
      <w:lang w:val="en-US" w:eastAsia="zh-CN" w:bidi="ar-SA"/>
    </w:rPr>
  </w:style>
  <w:style w:type="paragraph" w:customStyle="1" w:styleId="69">
    <w:name w:val="示例×："/>
    <w:basedOn w:val="52"/>
    <w:qFormat/>
    <w:uiPriority w:val="0"/>
    <w:pPr>
      <w:numPr>
        <w:ilvl w:val="0"/>
        <w:numId w:val="8"/>
      </w:numPr>
      <w:spacing w:before="0" w:beforeLines="0" w:after="0" w:afterLines="0"/>
      <w:outlineLvl w:val="9"/>
    </w:pPr>
    <w:rPr>
      <w:rFonts w:ascii="宋体" w:eastAsia="宋体"/>
      <w:sz w:val="18"/>
      <w:szCs w:val="18"/>
    </w:rPr>
  </w:style>
  <w:style w:type="paragraph" w:customStyle="1" w:styleId="70">
    <w:name w:val="二级无"/>
    <w:basedOn w:val="53"/>
    <w:qFormat/>
    <w:uiPriority w:val="0"/>
    <w:pPr>
      <w:spacing w:before="0" w:beforeLines="0" w:after="0" w:afterLines="0"/>
    </w:pPr>
    <w:rPr>
      <w:rFonts w:ascii="宋体" w:eastAsia="宋体"/>
    </w:rPr>
  </w:style>
  <w:style w:type="paragraph" w:customStyle="1" w:styleId="71">
    <w:name w:val="注：（正文）"/>
    <w:basedOn w:val="64"/>
    <w:next w:val="28"/>
    <w:qFormat/>
    <w:uiPriority w:val="0"/>
  </w:style>
  <w:style w:type="paragraph" w:customStyle="1" w:styleId="72">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5">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6">
    <w:name w:val="标准书眉_偶数页"/>
    <w:basedOn w:val="51"/>
    <w:next w:val="1"/>
    <w:qFormat/>
    <w:uiPriority w:val="0"/>
    <w:pPr>
      <w:jc w:val="left"/>
    </w:pPr>
  </w:style>
  <w:style w:type="paragraph" w:customStyle="1" w:styleId="77">
    <w:name w:val="标准书眉一"/>
    <w:qFormat/>
    <w:uiPriority w:val="0"/>
    <w:pPr>
      <w:jc w:val="both"/>
    </w:pPr>
    <w:rPr>
      <w:rFonts w:ascii="Times New Roman" w:hAnsi="Times New Roman" w:eastAsia="宋体" w:cs="Times New Roman"/>
      <w:lang w:val="en-US" w:eastAsia="zh-CN" w:bidi="ar-SA"/>
    </w:rPr>
  </w:style>
  <w:style w:type="paragraph" w:customStyle="1" w:styleId="78">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9">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0">
    <w:name w:val="发布"/>
    <w:qFormat/>
    <w:uiPriority w:val="0"/>
    <w:rPr>
      <w:rFonts w:ascii="黑体" w:eastAsia="黑体"/>
      <w:spacing w:val="85"/>
      <w:w w:val="100"/>
      <w:position w:val="3"/>
      <w:sz w:val="28"/>
      <w:szCs w:val="28"/>
    </w:rPr>
  </w:style>
  <w:style w:type="paragraph" w:customStyle="1" w:styleId="81">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2">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6">
    <w:name w:val="封面标准英文名称"/>
    <w:basedOn w:val="85"/>
    <w:qFormat/>
    <w:uiPriority w:val="0"/>
    <w:pPr>
      <w:framePr w:wrap="around"/>
      <w:spacing w:before="370" w:line="400" w:lineRule="exact"/>
    </w:pPr>
    <w:rPr>
      <w:rFonts w:ascii="Times New Roman"/>
      <w:sz w:val="28"/>
      <w:szCs w:val="28"/>
    </w:rPr>
  </w:style>
  <w:style w:type="paragraph" w:customStyle="1" w:styleId="87">
    <w:name w:val="封面一致性程度标识"/>
    <w:basedOn w:val="86"/>
    <w:qFormat/>
    <w:uiPriority w:val="0"/>
    <w:pPr>
      <w:framePr w:wrap="around"/>
      <w:spacing w:before="440"/>
    </w:pPr>
    <w:rPr>
      <w:rFonts w:ascii="宋体" w:eastAsia="宋体"/>
    </w:rPr>
  </w:style>
  <w:style w:type="paragraph" w:customStyle="1" w:styleId="88">
    <w:name w:val="封面标准文稿类别"/>
    <w:basedOn w:val="87"/>
    <w:qFormat/>
    <w:uiPriority w:val="0"/>
    <w:pPr>
      <w:framePr w:wrap="around"/>
      <w:spacing w:after="160" w:line="240" w:lineRule="auto"/>
    </w:pPr>
    <w:rPr>
      <w:sz w:val="24"/>
    </w:rPr>
  </w:style>
  <w:style w:type="paragraph" w:customStyle="1" w:styleId="89">
    <w:name w:val="封面标准文稿编辑信息"/>
    <w:basedOn w:val="88"/>
    <w:qFormat/>
    <w:uiPriority w:val="0"/>
    <w:pPr>
      <w:framePr w:wrap="around"/>
      <w:spacing w:before="180" w:line="180" w:lineRule="exact"/>
    </w:pPr>
    <w:rPr>
      <w:sz w:val="21"/>
    </w:rPr>
  </w:style>
  <w:style w:type="paragraph" w:customStyle="1" w:styleId="90">
    <w:name w:val="封面正文"/>
    <w:qFormat/>
    <w:uiPriority w:val="0"/>
    <w:pPr>
      <w:jc w:val="both"/>
    </w:pPr>
    <w:rPr>
      <w:rFonts w:ascii="Times New Roman" w:hAnsi="Times New Roman" w:eastAsia="宋体" w:cs="Times New Roman"/>
      <w:lang w:val="en-US" w:eastAsia="zh-CN" w:bidi="ar-SA"/>
    </w:rPr>
  </w:style>
  <w:style w:type="paragraph" w:customStyle="1" w:styleId="91">
    <w:name w:val="附录标识"/>
    <w:basedOn w:val="1"/>
    <w:next w:val="28"/>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2">
    <w:name w:val="附录标题"/>
    <w:basedOn w:val="28"/>
    <w:next w:val="28"/>
    <w:qFormat/>
    <w:uiPriority w:val="0"/>
    <w:pPr>
      <w:ind w:firstLine="0" w:firstLineChars="0"/>
      <w:jc w:val="center"/>
    </w:pPr>
    <w:rPr>
      <w:rFonts w:ascii="黑体" w:eastAsia="黑体"/>
    </w:rPr>
  </w:style>
  <w:style w:type="paragraph" w:customStyle="1" w:styleId="93">
    <w:name w:val="附录表标号"/>
    <w:basedOn w:val="1"/>
    <w:next w:val="28"/>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94">
    <w:name w:val="附录表标题"/>
    <w:basedOn w:val="1"/>
    <w:next w:val="28"/>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95">
    <w:name w:val="附录二级条标题"/>
    <w:basedOn w:val="1"/>
    <w:next w:val="28"/>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6">
    <w:name w:val="附录二级无"/>
    <w:basedOn w:val="95"/>
    <w:qFormat/>
    <w:uiPriority w:val="0"/>
    <w:pPr>
      <w:tabs>
        <w:tab w:val="clear" w:pos="360"/>
      </w:tabs>
      <w:spacing w:before="0" w:beforeLines="0" w:after="0" w:afterLines="0"/>
    </w:pPr>
    <w:rPr>
      <w:rFonts w:ascii="宋体" w:eastAsia="宋体"/>
      <w:szCs w:val="21"/>
    </w:rPr>
  </w:style>
  <w:style w:type="paragraph" w:customStyle="1" w:styleId="97">
    <w:name w:val="附录公式"/>
    <w:basedOn w:val="28"/>
    <w:next w:val="28"/>
    <w:link w:val="98"/>
    <w:qFormat/>
    <w:uiPriority w:val="0"/>
  </w:style>
  <w:style w:type="character" w:customStyle="1" w:styleId="98">
    <w:name w:val="附录公式 Char"/>
    <w:basedOn w:val="48"/>
    <w:link w:val="97"/>
    <w:qFormat/>
    <w:uiPriority w:val="0"/>
    <w:rPr>
      <w:rFonts w:ascii="宋体"/>
      <w:sz w:val="21"/>
      <w:lang w:val="en-US" w:eastAsia="zh-CN" w:bidi="ar-SA"/>
    </w:rPr>
  </w:style>
  <w:style w:type="paragraph" w:customStyle="1" w:styleId="99">
    <w:name w:val="附录公式编号制表符"/>
    <w:basedOn w:val="1"/>
    <w:next w:val="28"/>
    <w:qFormat/>
    <w:uiPriority w:val="0"/>
    <w:pPr>
      <w:widowControl/>
      <w:tabs>
        <w:tab w:val="center" w:pos="4201"/>
        <w:tab w:val="right" w:leader="dot" w:pos="9298"/>
      </w:tabs>
      <w:autoSpaceDE w:val="0"/>
      <w:autoSpaceDN w:val="0"/>
    </w:pPr>
    <w:rPr>
      <w:rFonts w:ascii="宋体"/>
      <w:kern w:val="0"/>
      <w:szCs w:val="20"/>
    </w:rPr>
  </w:style>
  <w:style w:type="paragraph" w:customStyle="1" w:styleId="100">
    <w:name w:val="附录三级条标题"/>
    <w:basedOn w:val="95"/>
    <w:next w:val="28"/>
    <w:qFormat/>
    <w:uiPriority w:val="0"/>
    <w:pPr>
      <w:numPr>
        <w:ilvl w:val="4"/>
      </w:numPr>
      <w:outlineLvl w:val="4"/>
    </w:pPr>
  </w:style>
  <w:style w:type="paragraph" w:customStyle="1" w:styleId="101">
    <w:name w:val="附录三级无"/>
    <w:basedOn w:val="100"/>
    <w:qFormat/>
    <w:uiPriority w:val="0"/>
    <w:pPr>
      <w:tabs>
        <w:tab w:val="clear" w:pos="360"/>
      </w:tabs>
      <w:spacing w:before="0" w:beforeLines="0" w:after="0" w:afterLines="0"/>
    </w:pPr>
    <w:rPr>
      <w:rFonts w:ascii="宋体" w:eastAsia="宋体"/>
      <w:szCs w:val="21"/>
    </w:rPr>
  </w:style>
  <w:style w:type="paragraph" w:customStyle="1" w:styleId="102">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103">
    <w:name w:val="附录四级条标题"/>
    <w:basedOn w:val="100"/>
    <w:next w:val="28"/>
    <w:qFormat/>
    <w:uiPriority w:val="0"/>
    <w:pPr>
      <w:numPr>
        <w:ilvl w:val="5"/>
      </w:numPr>
      <w:outlineLvl w:val="5"/>
    </w:pPr>
  </w:style>
  <w:style w:type="paragraph" w:customStyle="1" w:styleId="104">
    <w:name w:val="附录四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6">
    <w:name w:val="附录图标题"/>
    <w:basedOn w:val="1"/>
    <w:next w:val="28"/>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7">
    <w:name w:val="附录五级条标题"/>
    <w:basedOn w:val="103"/>
    <w:next w:val="28"/>
    <w:qFormat/>
    <w:uiPriority w:val="0"/>
    <w:pPr>
      <w:numPr>
        <w:ilvl w:val="6"/>
      </w:numPr>
      <w:outlineLvl w:val="6"/>
    </w:pPr>
  </w:style>
  <w:style w:type="paragraph" w:customStyle="1" w:styleId="108">
    <w:name w:val="附录五级无"/>
    <w:basedOn w:val="107"/>
    <w:qFormat/>
    <w:uiPriority w:val="0"/>
    <w:pPr>
      <w:tabs>
        <w:tab w:val="clear" w:pos="360"/>
      </w:tabs>
      <w:spacing w:before="0" w:beforeLines="0" w:after="0" w:afterLines="0"/>
    </w:pPr>
    <w:rPr>
      <w:rFonts w:ascii="宋体" w:eastAsia="宋体"/>
      <w:szCs w:val="21"/>
    </w:rPr>
  </w:style>
  <w:style w:type="paragraph" w:customStyle="1" w:styleId="109">
    <w:name w:val="附录章标题"/>
    <w:next w:val="28"/>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0">
    <w:name w:val="附录一级条标题"/>
    <w:basedOn w:val="109"/>
    <w:next w:val="28"/>
    <w:qFormat/>
    <w:uiPriority w:val="0"/>
    <w:pPr>
      <w:numPr>
        <w:ilvl w:val="2"/>
      </w:numPr>
      <w:autoSpaceDN w:val="0"/>
      <w:spacing w:before="50" w:beforeLines="50" w:after="50" w:afterLines="50"/>
      <w:outlineLvl w:val="2"/>
    </w:pPr>
  </w:style>
  <w:style w:type="paragraph" w:customStyle="1" w:styleId="111">
    <w:name w:val="附录一级无"/>
    <w:basedOn w:val="110"/>
    <w:qFormat/>
    <w:uiPriority w:val="0"/>
    <w:pPr>
      <w:tabs>
        <w:tab w:val="clear" w:pos="360"/>
      </w:tabs>
      <w:spacing w:before="0" w:beforeLines="0" w:after="0" w:afterLines="0"/>
    </w:pPr>
    <w:rPr>
      <w:rFonts w:ascii="宋体" w:eastAsia="宋体"/>
      <w:szCs w:val="21"/>
    </w:rPr>
  </w:style>
  <w:style w:type="paragraph" w:customStyle="1" w:styleId="112">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1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6">
    <w:name w:val="其他标准标志"/>
    <w:basedOn w:val="73"/>
    <w:qFormat/>
    <w:uiPriority w:val="0"/>
    <w:pPr>
      <w:framePr w:w="6101" w:wrap="around" w:vAnchor="page" w:hAnchor="page" w:x="4673" w:y="942"/>
    </w:pPr>
    <w:rPr>
      <w:w w:val="130"/>
    </w:rPr>
  </w:style>
  <w:style w:type="paragraph" w:customStyle="1" w:styleId="11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8">
    <w:name w:val="其他发布部门"/>
    <w:basedOn w:val="81"/>
    <w:qFormat/>
    <w:uiPriority w:val="0"/>
    <w:pPr>
      <w:framePr w:wrap="around" w:y="15310"/>
      <w:spacing w:line="0" w:lineRule="atLeast"/>
    </w:pPr>
    <w:rPr>
      <w:rFonts w:ascii="黑体" w:eastAsia="黑体"/>
      <w:b w:val="0"/>
    </w:rPr>
  </w:style>
  <w:style w:type="paragraph" w:customStyle="1" w:styleId="119">
    <w:name w:val="前言、引言标题"/>
    <w:next w:val="2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0">
    <w:name w:val="三级无"/>
    <w:basedOn w:val="58"/>
    <w:qFormat/>
    <w:uiPriority w:val="0"/>
    <w:pPr>
      <w:spacing w:before="0" w:beforeLines="0" w:after="0" w:afterLines="0"/>
    </w:pPr>
    <w:rPr>
      <w:rFonts w:ascii="宋体" w:eastAsia="宋体"/>
    </w:rPr>
  </w:style>
  <w:style w:type="paragraph" w:customStyle="1" w:styleId="121">
    <w:name w:val="实施日期"/>
    <w:basedOn w:val="82"/>
    <w:qFormat/>
    <w:uiPriority w:val="0"/>
    <w:pPr>
      <w:framePr w:wrap="around" w:vAnchor="page" w:hAnchor="text"/>
      <w:jc w:val="right"/>
    </w:pPr>
  </w:style>
  <w:style w:type="paragraph" w:customStyle="1" w:styleId="122">
    <w:name w:val="示例后文字"/>
    <w:basedOn w:val="28"/>
    <w:next w:val="28"/>
    <w:qFormat/>
    <w:uiPriority w:val="0"/>
    <w:pPr>
      <w:ind w:firstLine="360"/>
    </w:pPr>
    <w:rPr>
      <w:sz w:val="18"/>
    </w:rPr>
  </w:style>
  <w:style w:type="paragraph" w:customStyle="1" w:styleId="123">
    <w:name w:val="首示例"/>
    <w:next w:val="28"/>
    <w:link w:val="124"/>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4">
    <w:name w:val="首示例 Char"/>
    <w:link w:val="123"/>
    <w:qFormat/>
    <w:uiPriority w:val="0"/>
    <w:rPr>
      <w:rFonts w:ascii="宋体" w:hAnsi="宋体"/>
      <w:kern w:val="2"/>
      <w:sz w:val="18"/>
      <w:szCs w:val="18"/>
      <w:lang w:bidi="ar-SA"/>
    </w:rPr>
  </w:style>
  <w:style w:type="paragraph" w:customStyle="1" w:styleId="125">
    <w:name w:val="四级无"/>
    <w:basedOn w:val="62"/>
    <w:qFormat/>
    <w:uiPriority w:val="0"/>
    <w:pPr>
      <w:spacing w:before="0" w:beforeLines="0" w:after="0" w:afterLines="0"/>
    </w:pPr>
    <w:rPr>
      <w:rFonts w:ascii="宋体" w:eastAsia="宋体"/>
    </w:rPr>
  </w:style>
  <w:style w:type="paragraph" w:customStyle="1" w:styleId="126">
    <w:name w:val="条文脚注"/>
    <w:basedOn w:val="30"/>
    <w:qFormat/>
    <w:uiPriority w:val="0"/>
    <w:pPr>
      <w:numPr>
        <w:numId w:val="0"/>
      </w:numPr>
      <w:tabs>
        <w:tab w:val="clear" w:pos="0"/>
      </w:tabs>
      <w:jc w:val="both"/>
    </w:pPr>
  </w:style>
  <w:style w:type="paragraph" w:customStyle="1" w:styleId="127">
    <w:name w:val="图标脚注说明"/>
    <w:basedOn w:val="28"/>
    <w:qFormat/>
    <w:uiPriority w:val="0"/>
    <w:pPr>
      <w:ind w:left="840" w:hanging="420" w:firstLineChars="0"/>
    </w:pPr>
    <w:rPr>
      <w:sz w:val="18"/>
      <w:szCs w:val="18"/>
    </w:rPr>
  </w:style>
  <w:style w:type="paragraph" w:customStyle="1" w:styleId="128">
    <w:name w:val="图表脚注说明"/>
    <w:basedOn w:val="1"/>
    <w:qFormat/>
    <w:uiPriority w:val="0"/>
    <w:pPr>
      <w:numPr>
        <w:ilvl w:val="0"/>
        <w:numId w:val="15"/>
      </w:numPr>
    </w:pPr>
    <w:rPr>
      <w:rFonts w:ascii="宋体"/>
      <w:sz w:val="18"/>
      <w:szCs w:val="18"/>
    </w:rPr>
  </w:style>
  <w:style w:type="paragraph" w:customStyle="1" w:styleId="129">
    <w:name w:val="图的脚注"/>
    <w:next w:val="28"/>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0">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1">
    <w:name w:val="五级无"/>
    <w:basedOn w:val="63"/>
    <w:qFormat/>
    <w:uiPriority w:val="0"/>
    <w:pPr>
      <w:spacing w:before="0" w:beforeLines="0" w:after="0" w:afterLines="0"/>
    </w:pPr>
    <w:rPr>
      <w:rFonts w:ascii="宋体" w:eastAsia="宋体"/>
    </w:rPr>
  </w:style>
  <w:style w:type="paragraph" w:customStyle="1" w:styleId="132">
    <w:name w:val="一级无"/>
    <w:basedOn w:val="49"/>
    <w:qFormat/>
    <w:uiPriority w:val="0"/>
    <w:pPr>
      <w:spacing w:before="0" w:beforeLines="0" w:after="0" w:afterLines="0"/>
    </w:pPr>
    <w:rPr>
      <w:rFonts w:ascii="宋体" w:eastAsia="宋体"/>
    </w:rPr>
  </w:style>
  <w:style w:type="paragraph" w:customStyle="1" w:styleId="133">
    <w:name w:val="正文表标题"/>
    <w:next w:val="28"/>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4">
    <w:name w:val="正文公式编号制表符"/>
    <w:basedOn w:val="28"/>
    <w:next w:val="28"/>
    <w:qFormat/>
    <w:uiPriority w:val="0"/>
    <w:pPr>
      <w:ind w:firstLine="0" w:firstLineChars="0"/>
    </w:pPr>
  </w:style>
  <w:style w:type="paragraph" w:customStyle="1" w:styleId="135">
    <w:name w:val="正文图标题"/>
    <w:next w:val="28"/>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6">
    <w:name w:val="终结线"/>
    <w:basedOn w:val="1"/>
    <w:qFormat/>
    <w:uiPriority w:val="0"/>
    <w:pPr>
      <w:framePr w:hSpace="181" w:vSpace="181" w:wrap="around" w:vAnchor="text" w:hAnchor="margin" w:xAlign="center" w:y="285"/>
    </w:pPr>
  </w:style>
  <w:style w:type="paragraph" w:customStyle="1" w:styleId="137">
    <w:name w:val="其他发布日期"/>
    <w:basedOn w:val="82"/>
    <w:qFormat/>
    <w:uiPriority w:val="0"/>
    <w:pPr>
      <w:framePr w:wrap="around" w:vAnchor="page" w:hAnchor="text" w:x="1419"/>
    </w:pPr>
  </w:style>
  <w:style w:type="paragraph" w:customStyle="1" w:styleId="138">
    <w:name w:val="其他实施日期"/>
    <w:basedOn w:val="121"/>
    <w:qFormat/>
    <w:uiPriority w:val="0"/>
    <w:pPr>
      <w:framePr w:wrap="around"/>
    </w:pPr>
  </w:style>
  <w:style w:type="paragraph" w:customStyle="1" w:styleId="139">
    <w:name w:val="封面标准名称2"/>
    <w:basedOn w:val="85"/>
    <w:qFormat/>
    <w:uiPriority w:val="0"/>
    <w:pPr>
      <w:framePr w:wrap="around" w:y="4469"/>
      <w:spacing w:before="630" w:beforeLines="630"/>
    </w:pPr>
  </w:style>
  <w:style w:type="paragraph" w:customStyle="1" w:styleId="140">
    <w:name w:val="封面标准英文名称2"/>
    <w:basedOn w:val="86"/>
    <w:qFormat/>
    <w:uiPriority w:val="0"/>
    <w:pPr>
      <w:framePr w:wrap="around" w:y="4469"/>
    </w:pPr>
  </w:style>
  <w:style w:type="paragraph" w:customStyle="1" w:styleId="141">
    <w:name w:val="封面一致性程度标识2"/>
    <w:basedOn w:val="87"/>
    <w:qFormat/>
    <w:uiPriority w:val="0"/>
    <w:pPr>
      <w:framePr w:wrap="around" w:y="4469"/>
    </w:pPr>
  </w:style>
  <w:style w:type="paragraph" w:customStyle="1" w:styleId="142">
    <w:name w:val="封面标准文稿类别2"/>
    <w:basedOn w:val="88"/>
    <w:qFormat/>
    <w:uiPriority w:val="0"/>
    <w:pPr>
      <w:framePr w:wrap="around" w:y="4469"/>
    </w:pPr>
  </w:style>
  <w:style w:type="paragraph" w:customStyle="1" w:styleId="143">
    <w:name w:val="封面标准文稿编辑信息2"/>
    <w:basedOn w:val="89"/>
    <w:qFormat/>
    <w:uiPriority w:val="0"/>
    <w:pPr>
      <w:framePr w:wrap="around" w:y="4469"/>
    </w:pPr>
  </w:style>
  <w:style w:type="character" w:customStyle="1" w:styleId="144">
    <w:name w:val="页脚 字符"/>
    <w:link w:val="22"/>
    <w:qFormat/>
    <w:uiPriority w:val="99"/>
    <w:rPr>
      <w:kern w:val="2"/>
      <w:sz w:val="18"/>
      <w:szCs w:val="18"/>
    </w:rPr>
  </w:style>
  <w:style w:type="character" w:customStyle="1" w:styleId="145">
    <w:name w:val="页眉 字符"/>
    <w:link w:val="23"/>
    <w:qFormat/>
    <w:locked/>
    <w:uiPriority w:val="99"/>
    <w:rPr>
      <w:kern w:val="2"/>
      <w:sz w:val="18"/>
      <w:szCs w:val="18"/>
    </w:rPr>
  </w:style>
  <w:style w:type="paragraph" w:customStyle="1" w:styleId="146">
    <w:name w:val="标准文件_正文图标题"/>
    <w:next w:val="1"/>
    <w:qFormat/>
    <w:uiPriority w:val="0"/>
    <w:pPr>
      <w:jc w:val="center"/>
    </w:pPr>
    <w:rPr>
      <w:rFonts w:ascii="黑体" w:hAnsi="Times New Roman" w:eastAsia="黑体" w:cs="Times New Roman"/>
      <w:sz w:val="21"/>
      <w:lang w:val="en-US" w:eastAsia="zh-CN" w:bidi="ar-SA"/>
    </w:rPr>
  </w:style>
  <w:style w:type="paragraph" w:customStyle="1" w:styleId="147">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148">
    <w:name w:val="标题 1 字符"/>
    <w:link w:val="2"/>
    <w:qFormat/>
    <w:uiPriority w:val="0"/>
    <w:rPr>
      <w:b/>
      <w:bCs/>
      <w:kern w:val="44"/>
      <w:sz w:val="44"/>
      <w:szCs w:val="44"/>
    </w:rPr>
  </w:style>
  <w:style w:type="character" w:customStyle="1" w:styleId="149">
    <w:name w:val="标题 2 字符"/>
    <w:link w:val="3"/>
    <w:semiHidden/>
    <w:qFormat/>
    <w:uiPriority w:val="0"/>
    <w:rPr>
      <w:rFonts w:ascii="Cambria" w:hAnsi="Cambria" w:eastAsia="宋体" w:cs="Times New Roman"/>
      <w:b/>
      <w:bCs/>
      <w:kern w:val="2"/>
      <w:sz w:val="32"/>
      <w:szCs w:val="32"/>
    </w:rPr>
  </w:style>
  <w:style w:type="character" w:customStyle="1" w:styleId="150">
    <w:name w:val="标题 3 字符"/>
    <w:link w:val="4"/>
    <w:semiHidden/>
    <w:qFormat/>
    <w:uiPriority w:val="0"/>
    <w:rPr>
      <w:b/>
      <w:bCs/>
      <w:kern w:val="2"/>
      <w:sz w:val="32"/>
      <w:szCs w:val="32"/>
    </w:rPr>
  </w:style>
  <w:style w:type="paragraph" w:customStyle="1" w:styleId="151">
    <w:name w:val="KY正文"/>
    <w:basedOn w:val="1"/>
    <w:link w:val="152"/>
    <w:qFormat/>
    <w:uiPriority w:val="0"/>
    <w:pPr>
      <w:spacing w:line="300" w:lineRule="auto"/>
      <w:ind w:firstLine="200" w:firstLineChars="200"/>
    </w:pPr>
    <w:rPr>
      <w:sz w:val="24"/>
      <w:szCs w:val="20"/>
    </w:rPr>
  </w:style>
  <w:style w:type="character" w:customStyle="1" w:styleId="152">
    <w:name w:val="KY正文 Char"/>
    <w:link w:val="151"/>
    <w:qFormat/>
    <w:uiPriority w:val="0"/>
    <w:rPr>
      <w:kern w:val="2"/>
      <w:sz w:val="24"/>
    </w:rPr>
  </w:style>
  <w:style w:type="paragraph" w:customStyle="1" w:styleId="153">
    <w:name w:val="16正文"/>
    <w:basedOn w:val="1"/>
    <w:link w:val="154"/>
    <w:qFormat/>
    <w:uiPriority w:val="0"/>
    <w:pPr>
      <w:widowControl/>
      <w:spacing w:line="300" w:lineRule="auto"/>
      <w:ind w:firstLine="200" w:firstLineChars="200"/>
    </w:pPr>
    <w:rPr>
      <w:sz w:val="24"/>
      <w:szCs w:val="20"/>
    </w:rPr>
  </w:style>
  <w:style w:type="character" w:customStyle="1" w:styleId="154">
    <w:name w:val="16正文 Char"/>
    <w:link w:val="153"/>
    <w:qFormat/>
    <w:uiPriority w:val="0"/>
    <w:rPr>
      <w:kern w:val="2"/>
      <w:sz w:val="24"/>
    </w:rPr>
  </w:style>
  <w:style w:type="character" w:customStyle="1" w:styleId="155">
    <w:name w:val="标题 4 字符"/>
    <w:link w:val="5"/>
    <w:semiHidden/>
    <w:qFormat/>
    <w:uiPriority w:val="0"/>
    <w:rPr>
      <w:rFonts w:ascii="Cambria" w:hAnsi="Cambria" w:eastAsia="宋体" w:cs="Times New Roman"/>
      <w:b/>
      <w:bCs/>
      <w:kern w:val="2"/>
      <w:sz w:val="28"/>
      <w:szCs w:val="28"/>
    </w:rPr>
  </w:style>
  <w:style w:type="character" w:customStyle="1" w:styleId="156">
    <w:name w:val="标题 5 字符"/>
    <w:link w:val="6"/>
    <w:semiHidden/>
    <w:qFormat/>
    <w:uiPriority w:val="0"/>
    <w:rPr>
      <w:b/>
      <w:bCs/>
      <w:kern w:val="2"/>
      <w:sz w:val="28"/>
      <w:szCs w:val="28"/>
    </w:rPr>
  </w:style>
  <w:style w:type="paragraph" w:customStyle="1" w:styleId="157">
    <w:name w:val="二级"/>
    <w:basedOn w:val="49"/>
    <w:link w:val="160"/>
    <w:qFormat/>
    <w:uiPriority w:val="0"/>
  </w:style>
  <w:style w:type="paragraph" w:customStyle="1" w:styleId="158">
    <w:name w:val="三级"/>
    <w:basedOn w:val="53"/>
    <w:link w:val="163"/>
    <w:qFormat/>
    <w:uiPriority w:val="0"/>
    <w:pPr>
      <w:spacing w:before="156" w:after="156"/>
    </w:pPr>
  </w:style>
  <w:style w:type="character" w:customStyle="1" w:styleId="159">
    <w:name w:val="一级条标题 Char"/>
    <w:link w:val="49"/>
    <w:qFormat/>
    <w:uiPriority w:val="0"/>
    <w:rPr>
      <w:rFonts w:ascii="黑体" w:hAnsi="黑体" w:eastAsia="黑体"/>
      <w:sz w:val="21"/>
      <w:szCs w:val="21"/>
      <w:lang w:bidi="ar-SA"/>
    </w:rPr>
  </w:style>
  <w:style w:type="character" w:customStyle="1" w:styleId="160">
    <w:name w:val="二级 Char"/>
    <w:basedOn w:val="159"/>
    <w:link w:val="157"/>
    <w:qFormat/>
    <w:uiPriority w:val="0"/>
    <w:rPr>
      <w:rFonts w:ascii="黑体" w:hAnsi="黑体" w:eastAsia="黑体"/>
      <w:sz w:val="21"/>
      <w:szCs w:val="21"/>
      <w:lang w:bidi="ar-SA"/>
    </w:rPr>
  </w:style>
  <w:style w:type="paragraph" w:customStyle="1" w:styleId="161">
    <w:name w:val="四级"/>
    <w:basedOn w:val="58"/>
    <w:link w:val="166"/>
    <w:qFormat/>
    <w:uiPriority w:val="0"/>
    <w:pPr>
      <w:spacing w:before="156" w:after="156"/>
    </w:pPr>
  </w:style>
  <w:style w:type="character" w:customStyle="1" w:styleId="162">
    <w:name w:val="二级条标题 Char"/>
    <w:basedOn w:val="159"/>
    <w:link w:val="53"/>
    <w:qFormat/>
    <w:uiPriority w:val="0"/>
    <w:rPr>
      <w:rFonts w:ascii="黑体" w:hAnsi="黑体" w:eastAsia="黑体"/>
      <w:sz w:val="21"/>
      <w:szCs w:val="21"/>
      <w:lang w:bidi="ar-SA"/>
    </w:rPr>
  </w:style>
  <w:style w:type="character" w:customStyle="1" w:styleId="163">
    <w:name w:val="三级 Char"/>
    <w:basedOn w:val="162"/>
    <w:link w:val="158"/>
    <w:qFormat/>
    <w:uiPriority w:val="0"/>
    <w:rPr>
      <w:rFonts w:ascii="黑体" w:hAnsi="黑体" w:eastAsia="黑体"/>
      <w:sz w:val="21"/>
      <w:szCs w:val="21"/>
      <w:lang w:bidi="ar-SA"/>
    </w:rPr>
  </w:style>
  <w:style w:type="paragraph" w:customStyle="1" w:styleId="164">
    <w:name w:val="正文缩进-L"/>
    <w:basedOn w:val="1"/>
    <w:qFormat/>
    <w:uiPriority w:val="0"/>
    <w:pPr>
      <w:widowControl/>
      <w:spacing w:line="300" w:lineRule="auto"/>
      <w:ind w:firstLine="480" w:firstLineChars="200"/>
      <w:jc w:val="left"/>
    </w:pPr>
    <w:rPr>
      <w:rFonts w:ascii="宋体" w:hAnsi="宋体" w:cs="宋体"/>
      <w:kern w:val="0"/>
      <w:sz w:val="24"/>
    </w:rPr>
  </w:style>
  <w:style w:type="character" w:customStyle="1" w:styleId="165">
    <w:name w:val="三级条标题 Char"/>
    <w:basedOn w:val="162"/>
    <w:link w:val="58"/>
    <w:qFormat/>
    <w:uiPriority w:val="0"/>
    <w:rPr>
      <w:rFonts w:ascii="黑体" w:hAnsi="黑体" w:eastAsia="黑体"/>
      <w:sz w:val="21"/>
      <w:szCs w:val="21"/>
      <w:lang w:bidi="ar-SA"/>
    </w:rPr>
  </w:style>
  <w:style w:type="character" w:customStyle="1" w:styleId="166">
    <w:name w:val="四级 Char"/>
    <w:basedOn w:val="165"/>
    <w:link w:val="161"/>
    <w:qFormat/>
    <w:uiPriority w:val="0"/>
    <w:rPr>
      <w:rFonts w:ascii="黑体" w:hAnsi="黑体" w:eastAsia="黑体"/>
      <w:sz w:val="21"/>
      <w:szCs w:val="21"/>
      <w:lang w:bidi="ar-SA"/>
    </w:rPr>
  </w:style>
  <w:style w:type="character" w:customStyle="1" w:styleId="167">
    <w:name w:val="批注文字 字符"/>
    <w:link w:val="13"/>
    <w:qFormat/>
    <w:uiPriority w:val="0"/>
    <w:rPr>
      <w:kern w:val="2"/>
      <w:sz w:val="21"/>
      <w:szCs w:val="24"/>
    </w:rPr>
  </w:style>
  <w:style w:type="character" w:customStyle="1" w:styleId="168">
    <w:name w:val="批注主题 字符"/>
    <w:link w:val="38"/>
    <w:qFormat/>
    <w:uiPriority w:val="0"/>
    <w:rPr>
      <w:b/>
      <w:bCs/>
      <w:kern w:val="2"/>
      <w:sz w:val="21"/>
      <w:szCs w:val="24"/>
    </w:rPr>
  </w:style>
  <w:style w:type="character" w:customStyle="1" w:styleId="169">
    <w:name w:val="批注框文本 字符"/>
    <w:link w:val="21"/>
    <w:qFormat/>
    <w:uiPriority w:val="0"/>
    <w:rPr>
      <w:kern w:val="2"/>
      <w:sz w:val="18"/>
      <w:szCs w:val="18"/>
    </w:rPr>
  </w:style>
  <w:style w:type="character" w:customStyle="1" w:styleId="170">
    <w:name w:val="不明显强调1"/>
    <w:basedOn w:val="41"/>
    <w:qFormat/>
    <w:uiPriority w:val="19"/>
    <w:rPr>
      <w:i/>
      <w:iCs/>
      <w:color w:val="404040" w:themeColor="text1" w:themeTint="BF"/>
      <w14:textFill>
        <w14:solidFill>
          <w14:schemeClr w14:val="tx1">
            <w14:lumMod w14:val="75000"/>
            <w14:lumOff w14:val="25000"/>
          </w14:schemeClr>
        </w14:solidFill>
      </w14:textFill>
    </w:rPr>
  </w:style>
  <w:style w:type="paragraph" w:styleId="171">
    <w:name w:val="List Paragraph"/>
    <w:basedOn w:val="1"/>
    <w:qFormat/>
    <w:uiPriority w:val="34"/>
    <w:pPr>
      <w:ind w:firstLine="420" w:firstLineChars="200"/>
    </w:pPr>
  </w:style>
  <w:style w:type="paragraph" w:customStyle="1" w:styleId="172">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73">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11</Pages>
  <Words>6066</Words>
  <Characters>6388</Characters>
  <Lines>557</Lines>
  <Paragraphs>666</Paragraphs>
  <TotalTime>2</TotalTime>
  <ScaleCrop>false</ScaleCrop>
  <LinksUpToDate>false</LinksUpToDate>
  <CharactersWithSpaces>6461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2025-09-28T01:55:00Z</dcterms:created>
  <dc:creator>CNIS</dc:creator>
  <cp:lastModifiedBy>周枝萍</cp:lastModifiedBy>
  <dcterms:modified xsi:type="dcterms:W3CDTF">2025-09-29T01:42:27Z</dcterms:modified>
  <dc:title>标准名称</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81EE3314AC9F47669920D468D3E1DD75_13</vt:lpwstr>
  </property>
  <property fmtid="{D5CDD505-2E9C-101B-9397-08002B2CF9AE}" pid="4" name="KSOTemplateDocerSaveRecord">
    <vt:lpwstr>eyJoZGlkIjoiZmY5NzE5NmRhOTQyMTA2YWY3Yjk3N2IwYThkYjQ5YzgiLCJ1c2VySWQiOiIyODUyOTY0In0=</vt:lpwstr>
  </property>
</Properties>
</file>